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84"/>
        <w:gridCol w:w="5571"/>
      </w:tblGrid>
      <w:tr w:rsidR="00E35150" w:rsidTr="00A03366">
        <w:trPr>
          <w:jc w:val="center"/>
        </w:trPr>
        <w:tc>
          <w:tcPr>
            <w:tcW w:w="8655" w:type="dxa"/>
            <w:gridSpan w:val="2"/>
          </w:tcPr>
          <w:p w:rsidR="00E35150" w:rsidRDefault="00E35150" w:rsidP="00E35150">
            <w:pPr>
              <w:suppressLineNumbers/>
              <w:jc w:val="both"/>
              <w:rPr>
                <w:rFonts w:ascii="Arial" w:hAnsi="Arial"/>
                <w:b/>
                <w:bCs/>
                <w:rtl/>
              </w:rPr>
            </w:pPr>
            <w:r>
              <w:rPr>
                <w:rFonts w:ascii="Arial" w:hAnsi="Arial" w:hint="cs"/>
                <w:b/>
                <w:bCs/>
                <w:rtl/>
              </w:rPr>
              <w:t>ל</w:t>
            </w:r>
            <w:r>
              <w:rPr>
                <w:rFonts w:ascii="Arial" w:hAnsi="Arial"/>
                <w:b/>
                <w:bCs/>
                <w:rtl/>
              </w:rPr>
              <w:t xml:space="preserve">פני </w:t>
            </w:r>
            <w:r>
              <w:rPr>
                <w:rFonts w:ascii="Arial" w:hAnsi="Arial" w:hint="cs"/>
                <w:b/>
                <w:bCs/>
                <w:rtl/>
              </w:rPr>
              <w:t>כבוד ה</w:t>
            </w:r>
            <w:r>
              <w:rPr>
                <w:rFonts w:ascii="Arial" w:hAnsi="Arial"/>
                <w:b/>
                <w:bCs/>
                <w:rtl/>
              </w:rPr>
              <w:t>שופטת</w:t>
            </w:r>
            <w:r>
              <w:rPr>
                <w:rFonts w:ascii="Arial" w:hAnsi="Arial" w:hint="cs"/>
                <w:b/>
                <w:bCs/>
                <w:rtl/>
              </w:rPr>
              <w:t xml:space="preserve">  </w:t>
            </w:r>
            <w:r>
              <w:rPr>
                <w:rFonts w:ascii="Arial" w:hAnsi="Arial"/>
                <w:b/>
                <w:bCs/>
                <w:rtl/>
              </w:rPr>
              <w:t>שני כ"ץ</w:t>
            </w:r>
          </w:p>
          <w:p w:rsidR="00E35150" w:rsidRDefault="00E35150" w:rsidP="00D44968">
            <w:pPr>
              <w:suppressLineNumbers/>
              <w:rPr>
                <w:rFonts w:ascii="Arial" w:hAnsi="Arial" w:cs="FrankRuehl"/>
                <w:sz w:val="28"/>
                <w:szCs w:val="28"/>
                <w:highlight w:val="yellow"/>
              </w:rPr>
            </w:pPr>
          </w:p>
        </w:tc>
      </w:tr>
      <w:tr w:rsidR="0094424E" w:rsidTr="00A03366">
        <w:trPr>
          <w:jc w:val="center"/>
        </w:trPr>
        <w:tc>
          <w:tcPr>
            <w:tcW w:w="3084" w:type="dxa"/>
          </w:tcPr>
          <w:p w:rsidR="0094424E" w:rsidRDefault="0094424E" w:rsidP="00D44968">
            <w:pPr>
              <w:suppressLineNumbers/>
              <w:rPr>
                <w:rFonts w:ascii="Arial" w:hAnsi="Arial"/>
                <w:b/>
                <w:bCs/>
                <w:noProof w:val="0"/>
                <w:sz w:val="26"/>
                <w:szCs w:val="26"/>
              </w:rPr>
            </w:pPr>
          </w:p>
          <w:p w:rsidR="009E11EE" w:rsidRDefault="00E93F66" w:rsidP="00E35150">
            <w:pPr>
              <w:suppressLineNumbers/>
              <w:rPr>
                <w:rFonts w:ascii="Arial" w:hAnsi="Arial"/>
                <w:b/>
                <w:bCs/>
                <w:noProof w:val="0"/>
                <w:sz w:val="26"/>
                <w:szCs w:val="26"/>
                <w:rtl/>
              </w:rPr>
            </w:pPr>
            <w:r>
              <w:rPr>
                <w:rFonts w:ascii="Arial" w:hAnsi="Arial"/>
                <w:b/>
                <w:bCs/>
                <w:noProof w:val="0"/>
                <w:sz w:val="26"/>
                <w:szCs w:val="26"/>
                <w:rtl/>
              </w:rPr>
              <w:t>מבקש</w:t>
            </w:r>
            <w:r w:rsidR="00E35150">
              <w:rPr>
                <w:rFonts w:ascii="Arial" w:hAnsi="Arial" w:hint="cs"/>
                <w:b/>
                <w:bCs/>
                <w:noProof w:val="0"/>
                <w:sz w:val="26"/>
                <w:szCs w:val="26"/>
                <w:rtl/>
              </w:rPr>
              <w:t>:</w:t>
            </w:r>
          </w:p>
        </w:tc>
        <w:tc>
          <w:tcPr>
            <w:tcW w:w="5571" w:type="dxa"/>
          </w:tcPr>
          <w:p w:rsidR="0094424E" w:rsidRDefault="0094424E" w:rsidP="00D44968">
            <w:pPr>
              <w:suppressLineNumbers/>
              <w:rPr>
                <w:rFonts w:ascii="Arial" w:hAnsi="Arial"/>
                <w:b/>
                <w:bCs/>
                <w:noProof w:val="0"/>
                <w:sz w:val="26"/>
                <w:szCs w:val="26"/>
                <w:rtl/>
              </w:rPr>
            </w:pPr>
          </w:p>
          <w:p w:rsidR="0094424E" w:rsidRDefault="00F414AB" w:rsidP="00897DAF">
            <w:pPr>
              <w:suppressLineNumbers/>
              <w:rPr>
                <w:rFonts w:ascii="Arial" w:hAnsi="Arial"/>
                <w:b/>
                <w:bCs/>
                <w:noProof w:val="0"/>
                <w:sz w:val="26"/>
                <w:szCs w:val="26"/>
                <w:rtl/>
              </w:rPr>
            </w:pPr>
            <w:r>
              <w:rPr>
                <w:rFonts w:ascii="Arial" w:hAnsi="Arial" w:hint="cs"/>
                <w:b/>
                <w:bCs/>
                <w:noProof w:val="0"/>
                <w:sz w:val="26"/>
                <w:szCs w:val="26"/>
                <w:rtl/>
              </w:rPr>
              <w:t>פלוני</w:t>
            </w:r>
          </w:p>
          <w:p w:rsidR="00E35150" w:rsidRDefault="00E35150" w:rsidP="00897DAF">
            <w:pPr>
              <w:suppressLineNumbers/>
              <w:rPr>
                <w:b/>
                <w:bCs/>
                <w:noProof w:val="0"/>
                <w:sz w:val="26"/>
                <w:szCs w:val="26"/>
              </w:rPr>
            </w:pPr>
            <w:r>
              <w:rPr>
                <w:rFonts w:hint="cs"/>
                <w:b/>
                <w:bCs/>
                <w:noProof w:val="0"/>
                <w:sz w:val="26"/>
                <w:szCs w:val="26"/>
                <w:rtl/>
              </w:rPr>
              <w:t>ע"י ב"כ עוה"ד גיל שחף</w:t>
            </w:r>
          </w:p>
        </w:tc>
      </w:tr>
      <w:tr w:rsidR="0094424E" w:rsidTr="00A03366">
        <w:trPr>
          <w:jc w:val="center"/>
        </w:trPr>
        <w:tc>
          <w:tcPr>
            <w:tcW w:w="8655"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A03366">
        <w:trPr>
          <w:jc w:val="center"/>
        </w:trPr>
        <w:tc>
          <w:tcPr>
            <w:tcW w:w="3084" w:type="dxa"/>
          </w:tcPr>
          <w:p w:rsidR="0094424E" w:rsidRDefault="00E35150" w:rsidP="00D44968">
            <w:pPr>
              <w:suppressLineNumbers/>
              <w:rPr>
                <w:rFonts w:ascii="Arial" w:hAnsi="Arial"/>
                <w:b/>
                <w:bCs/>
                <w:noProof w:val="0"/>
                <w:sz w:val="26"/>
                <w:szCs w:val="26"/>
              </w:rPr>
            </w:pPr>
            <w:r>
              <w:rPr>
                <w:rFonts w:ascii="Arial" w:hAnsi="Arial"/>
                <w:b/>
                <w:bCs/>
                <w:noProof w:val="0"/>
                <w:sz w:val="26"/>
                <w:szCs w:val="26"/>
                <w:rtl/>
              </w:rPr>
              <w:t>משיב</w:t>
            </w:r>
            <w:r>
              <w:rPr>
                <w:rFonts w:ascii="Arial" w:hAnsi="Arial" w:hint="cs"/>
                <w:b/>
                <w:bCs/>
                <w:noProof w:val="0"/>
                <w:sz w:val="26"/>
                <w:szCs w:val="26"/>
                <w:rtl/>
              </w:rPr>
              <w:t>ה:</w:t>
            </w:r>
          </w:p>
        </w:tc>
        <w:tc>
          <w:tcPr>
            <w:tcW w:w="5571" w:type="dxa"/>
          </w:tcPr>
          <w:p w:rsidR="0094424E" w:rsidRDefault="00F414AB" w:rsidP="00897DAF">
            <w:pPr>
              <w:suppressLineNumbers/>
              <w:rPr>
                <w:rFonts w:ascii="Arial" w:hAnsi="Arial"/>
                <w:b/>
                <w:bCs/>
                <w:noProof w:val="0"/>
                <w:sz w:val="26"/>
                <w:szCs w:val="26"/>
                <w:rtl/>
              </w:rPr>
            </w:pPr>
            <w:r>
              <w:rPr>
                <w:rFonts w:ascii="Arial" w:hAnsi="Arial" w:hint="cs"/>
                <w:b/>
                <w:bCs/>
                <w:noProof w:val="0"/>
                <w:sz w:val="26"/>
                <w:szCs w:val="26"/>
                <w:rtl/>
              </w:rPr>
              <w:t>פלונית</w:t>
            </w:r>
          </w:p>
          <w:p w:rsidR="00E35150" w:rsidRPr="00E54CD9" w:rsidRDefault="00E35150" w:rsidP="00897DAF">
            <w:pPr>
              <w:suppressLineNumbers/>
              <w:rPr>
                <w:rFonts w:ascii="Arial" w:hAnsi="Arial"/>
                <w:b/>
                <w:bCs/>
                <w:noProof w:val="0"/>
                <w:sz w:val="26"/>
                <w:szCs w:val="26"/>
                <w:rtl/>
              </w:rPr>
            </w:pPr>
            <w:r>
              <w:rPr>
                <w:rFonts w:ascii="Arial" w:hAnsi="Arial" w:hint="cs"/>
                <w:b/>
                <w:bCs/>
                <w:noProof w:val="0"/>
                <w:sz w:val="26"/>
                <w:szCs w:val="26"/>
                <w:rtl/>
              </w:rPr>
              <w:t>ע"י ב"כ עוה"ד איתן שלו סולקין</w:t>
            </w:r>
          </w:p>
          <w:p w:rsidR="00CF6BB7" w:rsidRDefault="00CF6BB7" w:rsidP="00D44968">
            <w:pPr>
              <w:suppressLineNumbers/>
              <w:rPr>
                <w:b/>
                <w:bCs/>
                <w:noProof w:val="0"/>
                <w:sz w:val="26"/>
                <w:szCs w:val="26"/>
                <w:rtl/>
              </w:rPr>
            </w:pPr>
          </w:p>
        </w:tc>
      </w:tr>
    </w:tbl>
    <w:p w:rsidR="0094424E" w:rsidRDefault="0094424E" w:rsidP="00D44968">
      <w:pPr>
        <w:suppressLineNumbers/>
        <w:rPr>
          <w:rtl/>
        </w:rPr>
      </w:pPr>
    </w:p>
    <w:p w:rsidR="00A03366" w:rsidRDefault="00A03366" w:rsidP="00D44968">
      <w:pPr>
        <w:suppressLineNumbers/>
        <w:rPr>
          <w:rtl/>
        </w:rPr>
      </w:pPr>
    </w:p>
    <w:p w:rsidR="00A03366" w:rsidRDefault="00A03366"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03366" w:rsidRDefault="00A03366" w:rsidP="00A03366">
      <w:pPr>
        <w:spacing w:line="360" w:lineRule="auto"/>
        <w:rPr>
          <w:rFonts w:ascii="David" w:hAnsi="David"/>
          <w:noProof w:val="0"/>
        </w:rPr>
      </w:pPr>
      <w:bookmarkStart w:id="1" w:name="NGCSBookmark"/>
      <w:bookmarkEnd w:id="1"/>
      <w:r>
        <w:rPr>
          <w:rFonts w:ascii="David" w:hAnsi="David"/>
          <w:rtl/>
        </w:rPr>
        <w:t xml:space="preserve">לפניי עתירות המבקש מכוח פקודת ביזיון בית המשפט, בגדרן עתר לכוף בקנס את המשיבה בגין כל הפרה של צו למניעת הטרדה מאיימת שניתן ביום 17.8.2024. </w:t>
      </w:r>
    </w:p>
    <w:p w:rsidR="00A03366" w:rsidRDefault="00A03366" w:rsidP="00A03366">
      <w:pPr>
        <w:spacing w:line="360" w:lineRule="auto"/>
        <w:rPr>
          <w:rFonts w:ascii="David" w:hAnsi="David"/>
          <w:rtl/>
        </w:rPr>
      </w:pPr>
    </w:p>
    <w:p w:rsidR="00A03366" w:rsidRDefault="00A03366" w:rsidP="00A03366">
      <w:pPr>
        <w:spacing w:line="360" w:lineRule="auto"/>
        <w:jc w:val="both"/>
        <w:rPr>
          <w:rFonts w:ascii="David" w:hAnsi="David"/>
          <w:rtl/>
        </w:rPr>
      </w:pPr>
      <w:r>
        <w:rPr>
          <w:rFonts w:ascii="David" w:hAnsi="David"/>
          <w:rtl/>
        </w:rPr>
        <w:t>בפתח דבריי יאמר כי ההכרעה דנן כרוכה אחר שתי בקשות שהוגשו מכוח פקודת ביזיון בית המשפט (להלן: "</w:t>
      </w:r>
      <w:r>
        <w:rPr>
          <w:rFonts w:ascii="David" w:hAnsi="David"/>
          <w:b/>
          <w:bCs/>
          <w:rtl/>
        </w:rPr>
        <w:t>הפקודה</w:t>
      </w:r>
      <w:r>
        <w:rPr>
          <w:rFonts w:ascii="David" w:hAnsi="David"/>
          <w:rtl/>
        </w:rPr>
        <w:t>"), וזאת לאחר שקודם להגשת בקשות אלה, הוגשו, הוכרעו ונדחו – על ידי בית משפט שלערעור – שתי בקשות קודמות שהגיש המבקש מכוח הפקודה.</w:t>
      </w:r>
    </w:p>
    <w:p w:rsidR="00A03366" w:rsidRDefault="00A03366" w:rsidP="00A03366">
      <w:pPr>
        <w:spacing w:line="360" w:lineRule="auto"/>
        <w:rPr>
          <w:rFonts w:ascii="David" w:hAnsi="David"/>
          <w:rtl/>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הצדדים הם בני זוג ולהם שלושה ילדים קטינים, כבני 14 וחצי, 12 ו-5. </w:t>
      </w:r>
    </w:p>
    <w:p w:rsidR="00A03366" w:rsidRDefault="00A03366" w:rsidP="00A03366">
      <w:pPr>
        <w:pStyle w:val="ad"/>
        <w:spacing w:before="0" w:after="0" w:line="360" w:lineRule="auto"/>
        <w:ind w:left="567" w:hanging="567"/>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Pr>
      </w:pPr>
      <w:r>
        <w:rPr>
          <w:rFonts w:ascii="David" w:hAnsi="David" w:cs="David"/>
          <w:sz w:val="24"/>
          <w:szCs w:val="24"/>
          <w:rtl/>
        </w:rPr>
        <w:t>ביום 17.8.2024 ניתן על ידי כב' השופט שי שמואל צו למניעת הטרדה הדדי (להלן: "</w:t>
      </w:r>
      <w:r>
        <w:rPr>
          <w:rFonts w:ascii="David" w:hAnsi="David" w:cs="David"/>
          <w:b/>
          <w:bCs/>
          <w:sz w:val="24"/>
          <w:szCs w:val="24"/>
          <w:rtl/>
        </w:rPr>
        <w:t>הצו</w:t>
      </w:r>
      <w:r>
        <w:rPr>
          <w:rFonts w:ascii="David" w:hAnsi="David" w:cs="David"/>
          <w:sz w:val="24"/>
          <w:szCs w:val="24"/>
          <w:rtl/>
        </w:rPr>
        <w:t xml:space="preserve">"). </w:t>
      </w:r>
    </w:p>
    <w:p w:rsidR="00A03366" w:rsidRDefault="00A03366" w:rsidP="00A03366">
      <w:pPr>
        <w:spacing w:line="360" w:lineRule="auto"/>
        <w:ind w:left="567" w:hanging="567"/>
        <w:rPr>
          <w:rFonts w:ascii="David" w:hAnsi="David"/>
        </w:rPr>
      </w:pPr>
    </w:p>
    <w:p w:rsidR="00A03366" w:rsidRDefault="00A03366" w:rsidP="00A03366">
      <w:pPr>
        <w:pStyle w:val="ad"/>
        <w:numPr>
          <w:ilvl w:val="0"/>
          <w:numId w:val="1"/>
        </w:numPr>
        <w:spacing w:before="0" w:after="0" w:line="360" w:lineRule="auto"/>
        <w:ind w:left="567" w:hanging="567"/>
        <w:rPr>
          <w:rFonts w:ascii="David" w:hAnsi="David" w:cs="David"/>
          <w:sz w:val="24"/>
          <w:szCs w:val="24"/>
        </w:rPr>
      </w:pPr>
      <w:r>
        <w:rPr>
          <w:rFonts w:ascii="David" w:hAnsi="David" w:cs="David"/>
          <w:sz w:val="24"/>
          <w:szCs w:val="24"/>
          <w:rtl/>
        </w:rPr>
        <w:t>ביום 20.8.2024 הגיש המבקש בקשה על-פי הפקודה בטענה כי לאחר מתן פסק הדין סולק על ידי המשיבה מהחדר ומהבית באלימות ותוך פגיעה פיזית. כן טען המבקש ביחס לשורת הפרות נוספות, שפורטו בטבלה שצורפה לבקשה, בכך שהמשיבה "...</w:t>
      </w:r>
      <w:r>
        <w:rPr>
          <w:rFonts w:ascii="David" w:hAnsi="David" w:cs="David"/>
          <w:b/>
          <w:bCs/>
          <w:sz w:val="24"/>
          <w:szCs w:val="24"/>
          <w:rtl/>
        </w:rPr>
        <w:t>נכנסת לחדר של המשיב, לא מאפשר לו מקום מוגן ופרטיות</w:t>
      </w:r>
      <w:r>
        <w:rPr>
          <w:rFonts w:ascii="David" w:hAnsi="David" w:cs="David"/>
          <w:sz w:val="24"/>
          <w:szCs w:val="24"/>
          <w:rtl/>
        </w:rPr>
        <w:t>" וכן מטרידה אותה ואינה מאפשרת לו שגרת חיים  (להלן: "</w:t>
      </w:r>
      <w:r>
        <w:rPr>
          <w:rFonts w:ascii="David" w:hAnsi="David" w:cs="David"/>
          <w:b/>
          <w:bCs/>
          <w:sz w:val="24"/>
          <w:szCs w:val="24"/>
          <w:rtl/>
        </w:rPr>
        <w:t>הבקשה הראשונה</w:t>
      </w:r>
      <w:r>
        <w:rPr>
          <w:rFonts w:ascii="David" w:hAnsi="David" w:cs="David"/>
          <w:sz w:val="24"/>
          <w:szCs w:val="24"/>
          <w:rtl/>
        </w:rPr>
        <w:t>").</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ביום 22.8.2024 ועוד בטרם ניתנה החלטה בבקשה הראשונה, עתר המבקש בבקשה נוספת מכוח הפקודה וטען שהמשיבה "ניתקה לו את הסלולרי והותירה אותו בלי טלפון" וכן החליפה מנעולים בדלת הבית (להלן: "</w:t>
      </w:r>
      <w:r>
        <w:rPr>
          <w:rFonts w:ascii="David" w:hAnsi="David" w:cs="David"/>
          <w:b/>
          <w:bCs/>
          <w:sz w:val="24"/>
          <w:szCs w:val="24"/>
          <w:rtl/>
        </w:rPr>
        <w:t>הבקשה השנייה</w:t>
      </w:r>
      <w:r>
        <w:rPr>
          <w:rFonts w:ascii="David" w:hAnsi="David" w:cs="David"/>
          <w:sz w:val="24"/>
          <w:szCs w:val="24"/>
          <w:rtl/>
        </w:rPr>
        <w:t>").</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lastRenderedPageBreak/>
        <w:t xml:space="preserve">בהחלטה מיום 4.9.2024, קבע כב' השופט הבכיר מרדכי לוי, לאחר שמיעת הצדדים, כי החלפת מנעול הדלת בבית המגורים מהווה הטרדה המפרה את הצו וניתנו ביחס להפרה זו סנקציות בהתאם לפקודה; אשר לניתוק הטלפון הנייד – נקבע כי עניין זה אינו חוסה תחת הצו והבקשה נדחתה. </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המשיבה הגישה ערעור על החלטת בית המשפט דלעיל (ע"פ 59619-09-24). בפסק דינו, קיבל בית המשפט המחוזי (כב' השופט אריאל ואגו), את הערעור וביטל ההחלטה מיום 4.9.2024, בקובעו, בין היתר, כי "</w:t>
      </w:r>
      <w:r>
        <w:rPr>
          <w:rFonts w:ascii="David" w:hAnsi="David" w:cs="David"/>
          <w:b/>
          <w:bCs/>
          <w:sz w:val="24"/>
          <w:szCs w:val="24"/>
          <w:rtl/>
        </w:rPr>
        <w:t xml:space="preserve">בהעדר צו אופרטיבי האוסר על המערערת במפורש למנוע כניסה, וכאשר סעד זה נדחה באותה החלטה, אין החלטה מחייבת אשר ניתן בגינה להגיש בקשה לפי פקודת הביזיון" </w:t>
      </w:r>
      <w:r>
        <w:rPr>
          <w:rFonts w:ascii="David" w:hAnsi="David" w:cs="David"/>
          <w:sz w:val="24"/>
          <w:szCs w:val="24"/>
          <w:rtl/>
        </w:rPr>
        <w:t xml:space="preserve">(להלן: </w:t>
      </w:r>
      <w:r>
        <w:rPr>
          <w:rFonts w:ascii="David" w:hAnsi="David" w:cs="David"/>
          <w:b/>
          <w:bCs/>
          <w:sz w:val="24"/>
          <w:szCs w:val="24"/>
          <w:rtl/>
        </w:rPr>
        <w:t>"פסק הדין בערעור</w:t>
      </w:r>
      <w:r>
        <w:rPr>
          <w:rFonts w:ascii="David" w:hAnsi="David" w:cs="David"/>
          <w:sz w:val="24"/>
          <w:szCs w:val="24"/>
          <w:rtl/>
        </w:rPr>
        <w:t>").</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עובר למתן פסק הדין בערעור, ביום 25.9.2024, הגיש המבקש "בקשה (שלישית) על פי פקודת ביזיון בית משפט, בגדרה נטען, כי המשיבה אינה מאפשרת למבקש להתגורר באחד מחדרי בית המגורים, באופן שיהיו לו פרטיות, שקט ושלווה וכי המשיבה התקינה מנעול בדלת חדר השינה המשותף של הצדדים והוא נעול בפניו (להלן: "</w:t>
      </w:r>
      <w:r>
        <w:rPr>
          <w:rFonts w:ascii="David" w:hAnsi="David" w:cs="David"/>
          <w:b/>
          <w:bCs/>
          <w:sz w:val="24"/>
          <w:szCs w:val="24"/>
          <w:rtl/>
        </w:rPr>
        <w:t>הבקשה שלישית</w:t>
      </w:r>
      <w:r>
        <w:rPr>
          <w:rFonts w:ascii="David" w:hAnsi="David" w:cs="David"/>
          <w:sz w:val="24"/>
          <w:szCs w:val="24"/>
          <w:rtl/>
        </w:rPr>
        <w:t xml:space="preserve">"). </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בהחלטתי מיום 6.10.2024 הוריתי למבקש להודיע האם לאור פסק הדין בערעור מיום 29.9.2024, הוא עומד על הכרעה בבקשה השלישית במתכונת בה הוגשה, אם לאו. </w:t>
      </w:r>
    </w:p>
    <w:p w:rsidR="00A03366" w:rsidRDefault="00A03366" w:rsidP="00A03366">
      <w:pPr>
        <w:pStyle w:val="ad"/>
        <w:rPr>
          <w:rFonts w:ascii="David" w:hAnsi="David" w:cs="David"/>
          <w:sz w:val="24"/>
          <w:szCs w:val="24"/>
        </w:rPr>
      </w:pPr>
    </w:p>
    <w:p w:rsidR="00A03366" w:rsidRDefault="00A03366" w:rsidP="001A48DD">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ביום 7.10.2024 הגיש המבקש הודעתו בהתאם להחלטתי לעיל ולפיה הוא מבקש להכריע בבקשה וכן הגיש, בד בבד, "</w:t>
      </w:r>
      <w:r>
        <w:rPr>
          <w:rFonts w:ascii="David" w:hAnsi="David" w:cs="David"/>
          <w:b/>
          <w:bCs/>
          <w:sz w:val="24"/>
          <w:szCs w:val="24"/>
          <w:rtl/>
        </w:rPr>
        <w:t>בקשה רביעית לפי פקודת ביזיון בית משפט</w:t>
      </w:r>
      <w:r>
        <w:rPr>
          <w:rFonts w:ascii="David" w:hAnsi="David" w:cs="David"/>
          <w:sz w:val="24"/>
          <w:szCs w:val="24"/>
          <w:rtl/>
        </w:rPr>
        <w:t>" (להלן: "</w:t>
      </w:r>
      <w:r>
        <w:rPr>
          <w:rFonts w:ascii="David" w:hAnsi="David" w:cs="David"/>
          <w:b/>
          <w:bCs/>
          <w:sz w:val="24"/>
          <w:szCs w:val="24"/>
          <w:rtl/>
        </w:rPr>
        <w:t>הבקשה הרביעית</w:t>
      </w:r>
      <w:r>
        <w:rPr>
          <w:rFonts w:ascii="David" w:hAnsi="David" w:cs="David"/>
          <w:sz w:val="24"/>
          <w:szCs w:val="24"/>
          <w:rtl/>
        </w:rPr>
        <w:t>"). בבקשה הרביעית טען המבקש ל-16 הפרות לכאוריות של הצו שאירעו במועדים שונים, בהן, על פי הנטען, הטרידה המשיבה את המבקש, פגעה בפרטיותו ושוחחה עליו עם ילדיהם המשותפי</w:t>
      </w:r>
      <w:r w:rsidR="001A48DD">
        <w:rPr>
          <w:rFonts w:ascii="David" w:hAnsi="David" w:cs="David"/>
          <w:sz w:val="24"/>
          <w:szCs w:val="24"/>
          <w:rtl/>
        </w:rPr>
        <w:t>ם וכדלקמן: נכנסה לחדרו של הבן א</w:t>
      </w:r>
      <w:r w:rsidR="001A48DD">
        <w:rPr>
          <w:rFonts w:ascii="David" w:hAnsi="David" w:cs="David" w:hint="cs"/>
          <w:sz w:val="24"/>
          <w:szCs w:val="24"/>
          <w:rtl/>
        </w:rPr>
        <w:t>'</w:t>
      </w:r>
      <w:r>
        <w:rPr>
          <w:rFonts w:ascii="David" w:hAnsi="David" w:cs="David"/>
          <w:sz w:val="24"/>
          <w:szCs w:val="24"/>
          <w:rtl/>
        </w:rPr>
        <w:t xml:space="preserve"> בו לן המבקש, בעת שהמבקש שהה בו; הטיחה במבקש אל מול הילדים, כי "היה לנו כייף בלעדיך"; דרשה מהמבקש את מפתח בית המגורים לאחר הדיון שנערך בבית המשפט המחוזי בעניינם של הצדדים; חנתה את רכבה באופן שאינו מאפשר שימוש בחנייה גם למבקש; אמרה למבקש שאינו יכול להשתמש במייבש הכביסה; הניחה בגדים על מיטתו; אמרה לבנם הבכור כי היא מפחדת מהמבקש; הטרידה והקניטה את המבקש באומרה "איזה אוטו אבא קנה, אז כנראה שהוא יכול לעבוד"; חטפה מידיו את מכשיר הטלפון הנייד וצעקה שהוא מקליט אותה ואמרה למבקש שלא יהיה בבית בחג כיפור". לטענת המבקש, אמירות אלה, כשהן נאמרות לפני הילדים, עולות כדי הטרדה והשפלה ומהוות הפרה של הצו. </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lastRenderedPageBreak/>
        <w:t xml:space="preserve">המשיבה כפרה בטענות המבקש וטענה כי אין פסק דין או צו המאפשר למבקש לגור בבית ומכאן שלא הפרה כל צו; כי מאז שובו של המבקש להתגורר בבית, הופר האיזון בבית ונפגעה שגרת יומם של  הקטינים והם חשופים למתיחות שבין הצדדים וכי דרך הילוכו של המבקש בניהול ההליך המשפטי וריבוי הבקשות שהוגשו על ידו (המחזיקות עשרות רבות של עמודים) מהוות "אלימות משפטית". המשיבה עתרה לדחיית הבקשות, תוך חיוב המבקש בהוצאות משמעותיות.  </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הצדדים נשמעו לפני בדיון היום (10.10.2024). בהעדר הסכמה בין הצדדים לפתרון המחלוקות, ניתנת הכרעתי בבקשות. </w:t>
      </w:r>
    </w:p>
    <w:p w:rsidR="00A03366" w:rsidRDefault="00A03366" w:rsidP="00A03366">
      <w:pPr>
        <w:pStyle w:val="ad"/>
        <w:rPr>
          <w:rFonts w:ascii="David" w:hAnsi="David" w:cs="David"/>
          <w:b/>
          <w:bCs/>
          <w:sz w:val="24"/>
          <w:szCs w:val="24"/>
          <w:u w:val="single"/>
        </w:rPr>
      </w:pPr>
    </w:p>
    <w:p w:rsidR="00A03366" w:rsidRDefault="00A03366" w:rsidP="00A03366">
      <w:pPr>
        <w:spacing w:line="360" w:lineRule="auto"/>
        <w:rPr>
          <w:rFonts w:ascii="David" w:hAnsi="David"/>
          <w:rtl/>
        </w:rPr>
      </w:pPr>
      <w:r>
        <w:rPr>
          <w:rFonts w:ascii="David" w:hAnsi="David"/>
          <w:b/>
          <w:bCs/>
          <w:u w:val="single"/>
          <w:rtl/>
        </w:rPr>
        <w:t xml:space="preserve">דיון והכרעה </w:t>
      </w:r>
    </w:p>
    <w:p w:rsidR="00A03366" w:rsidRDefault="00A03366" w:rsidP="00A03366">
      <w:pPr>
        <w:pStyle w:val="ad"/>
        <w:rPr>
          <w:rFonts w:ascii="David" w:hAnsi="David" w:cs="David"/>
          <w:sz w:val="24"/>
          <w:szCs w:val="24"/>
        </w:rPr>
      </w:pPr>
    </w:p>
    <w:p w:rsidR="00A03366" w:rsidRDefault="00A03366" w:rsidP="00D92DAE">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פקודת בזיון בית משפט נועדה לאפשר לבית המשפט לאכוף החלטות שאינן ברות ביצוע באמצעות לשכת ההוצאה לפועל, וזאת על ידי חיוב בקנס או אף במאסר, עד לציות לצו שניתן (ראו הוראות סעיף 6(1) לפקודה). מטרת הפקודה הינה אכיפת צווים שיפוטיים והוצאתם מן הכוח אל הפועל. תכלית האכיפה הינה </w:t>
      </w:r>
      <w:r>
        <w:rPr>
          <w:rFonts w:ascii="David" w:hAnsi="David" w:cs="David"/>
          <w:b/>
          <w:bCs/>
          <w:sz w:val="24"/>
          <w:szCs w:val="24"/>
          <w:rtl/>
        </w:rPr>
        <w:t>צופה פני עתיד</w:t>
      </w:r>
      <w:r>
        <w:rPr>
          <w:rFonts w:ascii="David" w:hAnsi="David" w:cs="David"/>
          <w:sz w:val="24"/>
          <w:szCs w:val="24"/>
          <w:rtl/>
        </w:rPr>
        <w:t xml:space="preserve"> והיא לא נועדה "להעניש" את בעל הדין המפר את הצו השיפוטי או לצורך פסיקת פיצוי לצד שכנגד, אלא נועדה להביא לקיום ההחלטות השיפוטיות.</w:t>
      </w:r>
    </w:p>
    <w:p w:rsidR="00A03366" w:rsidRDefault="00A03366" w:rsidP="00D92DAE">
      <w:pPr>
        <w:pStyle w:val="ad"/>
        <w:ind w:left="567" w:hanging="567"/>
        <w:rPr>
          <w:rFonts w:ascii="David" w:hAnsi="David" w:cs="David"/>
          <w:sz w:val="24"/>
          <w:szCs w:val="24"/>
        </w:rPr>
      </w:pPr>
    </w:p>
    <w:p w:rsidR="00A03366" w:rsidRDefault="00A03366" w:rsidP="00D92DAE">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על פי ההלכה הפסוקה, הליכים לפי פקודת ביזיון בית המשפט הם הליכים מעין פליליים נוכח הסנקציה הכרוכה בהם. על כן, מתאימים הליכים אלה למקרים בהם מדובר בהפרת צווים שחיוביהם </w:t>
      </w:r>
      <w:r>
        <w:rPr>
          <w:rFonts w:ascii="David" w:hAnsi="David" w:cs="David"/>
          <w:b/>
          <w:bCs/>
          <w:sz w:val="24"/>
          <w:szCs w:val="24"/>
          <w:rtl/>
        </w:rPr>
        <w:t xml:space="preserve">חדים וברורים, </w:t>
      </w:r>
      <w:r>
        <w:rPr>
          <w:rFonts w:ascii="David" w:hAnsi="David" w:cs="David"/>
          <w:sz w:val="24"/>
          <w:szCs w:val="24"/>
          <w:rtl/>
        </w:rPr>
        <w:t xml:space="preserve">או שמשמעותם מתבררת בלא טרחה יתירה (ר' תמ"ש (משפחה קרית-גת) 4798-03-17 </w:t>
      </w:r>
      <w:r>
        <w:rPr>
          <w:rFonts w:ascii="David" w:hAnsi="David" w:cs="David"/>
          <w:sz w:val="24"/>
          <w:szCs w:val="24"/>
          <w:u w:val="single"/>
          <w:rtl/>
        </w:rPr>
        <w:t>פלוני נ' אלמונית</w:t>
      </w:r>
      <w:r>
        <w:rPr>
          <w:rFonts w:ascii="David" w:hAnsi="David" w:cs="David"/>
          <w:sz w:val="24"/>
          <w:szCs w:val="24"/>
          <w:rtl/>
        </w:rPr>
        <w:t xml:space="preserve"> (פורסם בנבו, 19.7.2017). נפסק כי "</w:t>
      </w:r>
      <w:r>
        <w:rPr>
          <w:rFonts w:ascii="David" w:hAnsi="David" w:cs="David"/>
          <w:b/>
          <w:bCs/>
          <w:sz w:val="24"/>
          <w:szCs w:val="24"/>
          <w:rtl/>
        </w:rPr>
        <w:t>אין לאכוף צו שניתן על ידי בית המשפט בהליכי ביזיון אלא אם כן הוא מצווה במילים חד משמעיות את אשר חייב להיעשות</w:t>
      </w:r>
      <w:r>
        <w:rPr>
          <w:rFonts w:ascii="David" w:hAnsi="David" w:cs="David"/>
          <w:sz w:val="24"/>
          <w:szCs w:val="24"/>
          <w:rtl/>
        </w:rPr>
        <w:t xml:space="preserve">" (ע"א 4231/90 </w:t>
      </w:r>
      <w:r>
        <w:rPr>
          <w:rFonts w:ascii="David" w:hAnsi="David" w:cs="David"/>
          <w:sz w:val="24"/>
          <w:szCs w:val="24"/>
          <w:u w:val="single"/>
          <w:rtl/>
        </w:rPr>
        <w:t>אתת טכנולוגיות (1985) בע"מ נ' מכ"ש מפסקי כרם שלום</w:t>
      </w:r>
      <w:r>
        <w:rPr>
          <w:rFonts w:ascii="David" w:hAnsi="David" w:cs="David"/>
          <w:sz w:val="24"/>
          <w:szCs w:val="24"/>
          <w:rtl/>
        </w:rPr>
        <w:t xml:space="preserve">, פ"ד מה(1) 617)). </w:t>
      </w:r>
    </w:p>
    <w:p w:rsidR="00A03366" w:rsidRDefault="00A03366" w:rsidP="00A03366">
      <w:pPr>
        <w:pStyle w:val="ad"/>
        <w:rPr>
          <w:rFonts w:ascii="David" w:hAnsi="David" w:cs="David"/>
          <w:sz w:val="24"/>
          <w:szCs w:val="24"/>
        </w:rPr>
      </w:pPr>
    </w:p>
    <w:p w:rsidR="00A03366" w:rsidRDefault="00A03366" w:rsidP="00D92DAE">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כן נקבע, כי </w:t>
      </w:r>
      <w:r>
        <w:rPr>
          <w:rFonts w:ascii="David" w:eastAsia="Times New Roman" w:hAnsi="David" w:cs="David"/>
          <w:sz w:val="24"/>
          <w:szCs w:val="24"/>
          <w:rtl/>
        </w:rPr>
        <w:t xml:space="preserve">הליך הביזיון אינו עונשי במהותו, ומטרתו העיקרית להביא לאכיפת ההחלטה השיפוטית </w:t>
      </w:r>
      <w:r>
        <w:rPr>
          <w:rFonts w:ascii="David" w:eastAsia="Times New Roman" w:hAnsi="David" w:cs="David"/>
          <w:b/>
          <w:bCs/>
          <w:sz w:val="24"/>
          <w:szCs w:val="24"/>
          <w:rtl/>
        </w:rPr>
        <w:t>במבט צופה עתיד</w:t>
      </w:r>
      <w:r>
        <w:rPr>
          <w:rFonts w:ascii="David" w:eastAsia="Times New Roman" w:hAnsi="David" w:cs="David"/>
          <w:sz w:val="24"/>
          <w:szCs w:val="24"/>
          <w:rtl/>
        </w:rPr>
        <w:t xml:space="preserve"> (ראו: דברי השופטת שטרסברג-כהן, רע"פ 7148/98 </w:t>
      </w:r>
      <w:r w:rsidRPr="00A03366">
        <w:rPr>
          <w:rFonts w:ascii="David" w:eastAsia="Times New Roman" w:hAnsi="David" w:cs="David"/>
          <w:sz w:val="24"/>
          <w:szCs w:val="24"/>
          <w:u w:val="single"/>
          <w:rtl/>
        </w:rPr>
        <w:t>עזרא נ' זלזניאק</w:t>
      </w:r>
      <w:r>
        <w:rPr>
          <w:rFonts w:ascii="David" w:eastAsia="Times New Roman" w:hAnsi="David" w:cs="David"/>
          <w:sz w:val="24"/>
          <w:szCs w:val="24"/>
          <w:rtl/>
        </w:rPr>
        <w:t xml:space="preserve">; ע"פ 1160/98 </w:t>
      </w:r>
      <w:r w:rsidRPr="00D92DAE">
        <w:rPr>
          <w:rFonts w:ascii="David" w:eastAsia="Times New Roman" w:hAnsi="David" w:cs="David"/>
          <w:sz w:val="24"/>
          <w:szCs w:val="24"/>
          <w:u w:val="single"/>
          <w:rtl/>
        </w:rPr>
        <w:t>שיז"פ שיווק יזום פרויקטים לבניה בע"מ נ' אשכנזי</w:t>
      </w:r>
      <w:r>
        <w:rPr>
          <w:rFonts w:ascii="David" w:eastAsia="Times New Roman" w:hAnsi="David" w:cs="David"/>
          <w:sz w:val="24"/>
          <w:szCs w:val="24"/>
          <w:rtl/>
        </w:rPr>
        <w:t xml:space="preserve">) וכי הליך הביזיון נחשב הליך אכיפה קיצוני מאחר שהסנקציה בעקבותיו – קנס או מאסר – עשויה להיות קשה ופוגעת, </w:t>
      </w:r>
      <w:r>
        <w:rPr>
          <w:rFonts w:ascii="David" w:eastAsia="Times New Roman" w:hAnsi="David" w:cs="David"/>
          <w:b/>
          <w:bCs/>
          <w:sz w:val="24"/>
          <w:szCs w:val="24"/>
          <w:rtl/>
        </w:rPr>
        <w:t xml:space="preserve">ולכן מקובל לראות בו הליך שיורי, לאחר שההליכים האחרים האפשריים נבחנו או מוצו </w:t>
      </w:r>
      <w:r>
        <w:rPr>
          <w:rFonts w:ascii="David" w:eastAsia="Times New Roman" w:hAnsi="David" w:cs="David"/>
          <w:sz w:val="24"/>
          <w:szCs w:val="24"/>
          <w:rtl/>
        </w:rPr>
        <w:t xml:space="preserve">והשימוש בכלי אכיפתי זה צריך להיעשות במשורה ובמקרים המתאימים וכי אין להיזקק </w:t>
      </w:r>
      <w:r>
        <w:rPr>
          <w:rFonts w:ascii="David" w:eastAsia="Times New Roman" w:hAnsi="David" w:cs="David"/>
          <w:sz w:val="24"/>
          <w:szCs w:val="24"/>
          <w:rtl/>
        </w:rPr>
        <w:lastRenderedPageBreak/>
        <w:t xml:space="preserve">להליכי ביזיון בית-המשפט כאשר קיימת דרך אחרת לביצוע ההוראה השיפוטית (ראו: ע"פ 519/82 </w:t>
      </w:r>
      <w:r w:rsidRPr="00D92DAE">
        <w:rPr>
          <w:rFonts w:ascii="David" w:eastAsia="Times New Roman" w:hAnsi="David" w:cs="David"/>
          <w:sz w:val="24"/>
          <w:szCs w:val="24"/>
          <w:u w:val="single"/>
          <w:rtl/>
        </w:rPr>
        <w:t>גרינברג נ' מדינת ישראל</w:t>
      </w:r>
      <w:r w:rsidR="00D92DAE">
        <w:rPr>
          <w:rFonts w:ascii="David" w:eastAsia="Times New Roman" w:hAnsi="David" w:cs="David"/>
          <w:sz w:val="24"/>
          <w:szCs w:val="24"/>
          <w:rtl/>
        </w:rPr>
        <w:t>;</w:t>
      </w:r>
      <w:r>
        <w:rPr>
          <w:rFonts w:ascii="David" w:eastAsia="Times New Roman" w:hAnsi="David" w:cs="David"/>
          <w:sz w:val="24"/>
          <w:szCs w:val="24"/>
          <w:rtl/>
        </w:rPr>
        <w:t xml:space="preserve"> ע"א 228/63 </w:t>
      </w:r>
      <w:r w:rsidRPr="00D92DAE">
        <w:rPr>
          <w:rFonts w:ascii="David" w:eastAsia="Times New Roman" w:hAnsi="David" w:cs="David"/>
          <w:sz w:val="24"/>
          <w:szCs w:val="24"/>
          <w:u w:val="single"/>
          <w:rtl/>
        </w:rPr>
        <w:t>עזוז נ' עזר</w:t>
      </w:r>
      <w:r>
        <w:rPr>
          <w:rFonts w:ascii="David" w:eastAsia="Times New Roman" w:hAnsi="David" w:cs="David"/>
          <w:sz w:val="24"/>
          <w:szCs w:val="24"/>
          <w:rtl/>
        </w:rPr>
        <w:t>).</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לאחר שעיינתי בבקשות על צרופותיהן, בתגובות להן ובכל אשר מונח לפני ולאחר ששמעתי טענות הצדדים בדיון, מצאתי לדחות הבקשות. ואלו הם טעמיי:</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בפסק דינו של כב' השופט שי שמואל מיום 17.8.2024, ניתן "</w:t>
      </w:r>
      <w:r>
        <w:rPr>
          <w:rFonts w:ascii="David" w:hAnsi="David" w:cs="David"/>
          <w:b/>
          <w:bCs/>
          <w:sz w:val="24"/>
          <w:szCs w:val="24"/>
          <w:rtl/>
        </w:rPr>
        <w:t>צו למניעת הטרדה הדדי שיאסור על מי מהצדדים להטריד את משנהו בכל מקום, בכל דרך ובכל מקום</w:t>
      </w:r>
      <w:r>
        <w:rPr>
          <w:rFonts w:ascii="David" w:hAnsi="David" w:cs="David"/>
          <w:sz w:val="24"/>
          <w:szCs w:val="24"/>
          <w:rtl/>
        </w:rPr>
        <w:t>". כן נאסר "</w:t>
      </w:r>
      <w:r>
        <w:rPr>
          <w:rFonts w:ascii="David" w:hAnsi="David" w:cs="David"/>
          <w:b/>
          <w:bCs/>
          <w:sz w:val="24"/>
          <w:szCs w:val="24"/>
          <w:rtl/>
        </w:rPr>
        <w:t>על מי מהצדדים להקליט, להסריט או להתחקות אחר הצד השני</w:t>
      </w:r>
      <w:r>
        <w:rPr>
          <w:rFonts w:ascii="David" w:hAnsi="David" w:cs="David"/>
          <w:sz w:val="24"/>
          <w:szCs w:val="24"/>
          <w:rtl/>
        </w:rPr>
        <w:t>" ונקבע כי "</w:t>
      </w:r>
      <w:r>
        <w:rPr>
          <w:rFonts w:ascii="David" w:hAnsi="David" w:cs="David"/>
          <w:b/>
          <w:bCs/>
          <w:sz w:val="24"/>
          <w:szCs w:val="24"/>
          <w:rtl/>
        </w:rPr>
        <w:t>הצו למניעת הטרדה הדדי כולל איסור לאיים, לקלל, להשפיל או לפעול בכל דרך אחרת שיש בה כדי להביא להטרדת הצד האחר</w:t>
      </w:r>
      <w:r>
        <w:rPr>
          <w:rFonts w:ascii="David" w:hAnsi="David" w:cs="David"/>
          <w:sz w:val="24"/>
          <w:szCs w:val="24"/>
          <w:rtl/>
        </w:rPr>
        <w:t xml:space="preserve">" (ר' סעיפים 49-51 לפסק הדין). </w:t>
      </w:r>
    </w:p>
    <w:p w:rsidR="00A03366" w:rsidRDefault="00A03366" w:rsidP="00A03366">
      <w:pPr>
        <w:pStyle w:val="ad"/>
        <w:rPr>
          <w:rFonts w:ascii="David" w:hAnsi="David" w:cs="David"/>
          <w:sz w:val="24"/>
          <w:szCs w:val="24"/>
        </w:rPr>
      </w:pPr>
    </w:p>
    <w:p w:rsidR="00A03366" w:rsidRDefault="00A03366" w:rsidP="00A03366">
      <w:pPr>
        <w:pStyle w:val="ad"/>
        <w:spacing w:before="0" w:after="0" w:line="360" w:lineRule="auto"/>
        <w:ind w:left="567"/>
        <w:rPr>
          <w:rFonts w:ascii="David" w:hAnsi="David" w:cs="David"/>
          <w:sz w:val="24"/>
          <w:szCs w:val="24"/>
          <w:rtl/>
        </w:rPr>
      </w:pPr>
      <w:r>
        <w:rPr>
          <w:rFonts w:ascii="David" w:hAnsi="David" w:cs="David"/>
          <w:sz w:val="24"/>
          <w:szCs w:val="24"/>
          <w:rtl/>
        </w:rPr>
        <w:t>לצד האמור, דחה כב' השופט שמואל את עתירת המבקש למתן צו הקשור לשימוש בבית המגורים (ר' סעיף 52 לפסק הדין).</w:t>
      </w:r>
    </w:p>
    <w:p w:rsidR="00A03366" w:rsidRDefault="00A03366" w:rsidP="00A03366">
      <w:pPr>
        <w:pStyle w:val="ad"/>
        <w:spacing w:before="0" w:after="0" w:line="360" w:lineRule="auto"/>
        <w:ind w:left="567"/>
        <w:rPr>
          <w:rFonts w:ascii="David" w:hAnsi="David" w:cs="David"/>
          <w:sz w:val="24"/>
          <w:szCs w:val="24"/>
          <w:rtl/>
        </w:rPr>
      </w:pPr>
    </w:p>
    <w:p w:rsidR="00A03366" w:rsidRDefault="00A03366" w:rsidP="00A03366">
      <w:pPr>
        <w:pStyle w:val="ad"/>
        <w:numPr>
          <w:ilvl w:val="0"/>
          <w:numId w:val="1"/>
        </w:numPr>
        <w:spacing w:before="0" w:after="0" w:line="360" w:lineRule="auto"/>
        <w:ind w:left="567" w:hanging="567"/>
        <w:rPr>
          <w:rFonts w:ascii="David" w:hAnsi="David" w:cs="David"/>
          <w:sz w:val="24"/>
          <w:szCs w:val="24"/>
        </w:rPr>
      </w:pPr>
      <w:r>
        <w:rPr>
          <w:rFonts w:ascii="David" w:hAnsi="David" w:cs="David"/>
          <w:sz w:val="24"/>
          <w:szCs w:val="24"/>
          <w:rtl/>
        </w:rPr>
        <w:t>הפוך והפוך בפסק הדין ולא תימצא בו צו אופרטיבי האוסר על המשיבה – באופן מפורש וחד משמעי - למנוע כניסת המבקש לבית המגורים ו/או למנוע מגוריו בבית ו/או לאפשר לו להתגורר באיזה מחדרי הבית. באופן דומה, אף לא ניתן צו חד וברור האוסר על המשיבה לשוחח עם המבקש ו/או לפנות אליו, על אף שסעדים אלו התבקשו מפורשות בבקשה למתן צו למניעת הטרדה (ר' סעיפים 2-1  לבקשה מיום 1.8.2024).</w:t>
      </w:r>
    </w:p>
    <w:p w:rsidR="00A03366" w:rsidRDefault="00A03366" w:rsidP="00A03366">
      <w:pPr>
        <w:pStyle w:val="ad"/>
        <w:spacing w:before="0" w:after="0" w:line="360" w:lineRule="auto"/>
        <w:ind w:left="567"/>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Pr>
      </w:pPr>
      <w:r>
        <w:rPr>
          <w:rFonts w:ascii="David" w:hAnsi="David" w:cs="David"/>
          <w:sz w:val="24"/>
          <w:szCs w:val="24"/>
          <w:rtl/>
        </w:rPr>
        <w:t>יתרה מזו. בסמוך לאחר מתן פסק הדין, ביום 20.8.2024, פנה המבקש "</w:t>
      </w:r>
      <w:r>
        <w:rPr>
          <w:rFonts w:ascii="David" w:hAnsi="David" w:cs="David"/>
          <w:b/>
          <w:bCs/>
          <w:sz w:val="24"/>
          <w:szCs w:val="24"/>
          <w:rtl/>
        </w:rPr>
        <w:t>בבקשה להשלמת פסק דין</w:t>
      </w:r>
      <w:r>
        <w:rPr>
          <w:rFonts w:ascii="David" w:hAnsi="David" w:cs="David"/>
          <w:sz w:val="24"/>
          <w:szCs w:val="24"/>
          <w:rtl/>
        </w:rPr>
        <w:t>" על מנת "</w:t>
      </w:r>
      <w:r>
        <w:rPr>
          <w:rFonts w:ascii="David" w:hAnsi="David" w:cs="David"/>
          <w:b/>
          <w:bCs/>
          <w:sz w:val="24"/>
          <w:szCs w:val="24"/>
          <w:rtl/>
        </w:rPr>
        <w:t>שהוא לא יהיה עקר, ואכן יספק את ההגנה הנדרשת למבקש</w:t>
      </w:r>
      <w:r>
        <w:rPr>
          <w:rFonts w:ascii="David" w:hAnsi="David" w:cs="David"/>
          <w:sz w:val="24"/>
          <w:szCs w:val="24"/>
          <w:rtl/>
        </w:rPr>
        <w:t>" ובכלל זאת התבקש בית המשפט ליתן הוראות כדלקמן:</w:t>
      </w:r>
    </w:p>
    <w:p w:rsidR="00A03366" w:rsidRDefault="00A03366" w:rsidP="00A03366">
      <w:pPr>
        <w:spacing w:line="360" w:lineRule="auto"/>
        <w:ind w:left="1502" w:right="426" w:hanging="426"/>
        <w:rPr>
          <w:rFonts w:ascii="David" w:hAnsi="David"/>
          <w:b/>
          <w:bCs/>
        </w:rPr>
      </w:pPr>
      <w:r>
        <w:rPr>
          <w:rFonts w:ascii="David" w:hAnsi="David"/>
          <w:b/>
          <w:bCs/>
          <w:rtl/>
        </w:rPr>
        <w:t xml:space="preserve">"1.  </w:t>
      </w:r>
      <w:r>
        <w:rPr>
          <w:rFonts w:ascii="David" w:hAnsi="David"/>
          <w:b/>
          <w:bCs/>
          <w:rtl/>
        </w:rPr>
        <w:tab/>
        <w:t xml:space="preserve">בגין כל הפרה של פסק הדין מיום 17.08.2024 תשלם המשיבה סך של 5,000 ₪ לאוצר המדינה ועוד 5,000 ₪ למבקש. </w:t>
      </w:r>
    </w:p>
    <w:p w:rsidR="00A03366" w:rsidRDefault="00A03366" w:rsidP="00A03366">
      <w:pPr>
        <w:spacing w:line="360" w:lineRule="auto"/>
        <w:ind w:left="1502" w:right="426" w:hanging="426"/>
        <w:rPr>
          <w:rFonts w:ascii="David" w:hAnsi="David"/>
          <w:b/>
          <w:bCs/>
          <w:rtl/>
        </w:rPr>
      </w:pPr>
      <w:r>
        <w:rPr>
          <w:rFonts w:ascii="David" w:hAnsi="David"/>
          <w:b/>
          <w:bCs/>
          <w:rtl/>
        </w:rPr>
        <w:t xml:space="preserve">  2.  חל איסור על המשיבה: </w:t>
      </w:r>
    </w:p>
    <w:p w:rsidR="00A03366" w:rsidRDefault="00A03366" w:rsidP="00A03366">
      <w:pPr>
        <w:pStyle w:val="ad"/>
        <w:numPr>
          <w:ilvl w:val="0"/>
          <w:numId w:val="2"/>
        </w:numPr>
        <w:spacing w:before="0" w:after="0" w:line="360" w:lineRule="auto"/>
        <w:ind w:left="1785" w:right="426" w:hanging="283"/>
        <w:rPr>
          <w:rFonts w:ascii="David" w:hAnsi="David" w:cs="David"/>
          <w:b/>
          <w:bCs/>
          <w:sz w:val="24"/>
          <w:szCs w:val="24"/>
        </w:rPr>
      </w:pPr>
      <w:r>
        <w:rPr>
          <w:rFonts w:ascii="David" w:hAnsi="David" w:cs="David"/>
          <w:b/>
          <w:bCs/>
          <w:sz w:val="24"/>
          <w:szCs w:val="24"/>
          <w:rtl/>
        </w:rPr>
        <w:t xml:space="preserve">להיכנס לחדר בו מתגורר המבקש – חדר השינה המשותף (לשעבר של הצדדים). </w:t>
      </w:r>
    </w:p>
    <w:p w:rsidR="00A03366" w:rsidRDefault="00A03366" w:rsidP="00A03366">
      <w:pPr>
        <w:pStyle w:val="ad"/>
        <w:numPr>
          <w:ilvl w:val="0"/>
          <w:numId w:val="2"/>
        </w:numPr>
        <w:spacing w:before="0" w:after="0" w:line="360" w:lineRule="auto"/>
        <w:ind w:left="1785" w:right="426" w:hanging="283"/>
        <w:rPr>
          <w:rFonts w:ascii="David" w:hAnsi="David" w:cs="David"/>
          <w:b/>
          <w:bCs/>
          <w:sz w:val="24"/>
          <w:szCs w:val="24"/>
        </w:rPr>
      </w:pPr>
      <w:r>
        <w:rPr>
          <w:rFonts w:ascii="David" w:hAnsi="David" w:cs="David"/>
          <w:b/>
          <w:bCs/>
          <w:sz w:val="24"/>
          <w:szCs w:val="24"/>
          <w:rtl/>
        </w:rPr>
        <w:t xml:space="preserve">חל איסור על המשיבה לומר מילה אחת לילדים על אביהם. </w:t>
      </w:r>
    </w:p>
    <w:p w:rsidR="00A03366" w:rsidRDefault="00A03366" w:rsidP="00A03366">
      <w:pPr>
        <w:pStyle w:val="ad"/>
        <w:numPr>
          <w:ilvl w:val="0"/>
          <w:numId w:val="2"/>
        </w:numPr>
        <w:spacing w:before="0" w:after="0" w:line="360" w:lineRule="auto"/>
        <w:ind w:left="1785" w:right="426" w:hanging="283"/>
        <w:rPr>
          <w:rFonts w:ascii="David" w:hAnsi="David" w:cs="David"/>
          <w:b/>
          <w:bCs/>
          <w:sz w:val="24"/>
          <w:szCs w:val="24"/>
        </w:rPr>
      </w:pPr>
      <w:r>
        <w:rPr>
          <w:rFonts w:ascii="David" w:hAnsi="David" w:cs="David"/>
          <w:b/>
          <w:bCs/>
          <w:sz w:val="24"/>
          <w:szCs w:val="24"/>
          <w:rtl/>
        </w:rPr>
        <w:t>חל איסור על המשיבה לפנות אל המבקש ו/או לדבר איתו".</w:t>
      </w:r>
    </w:p>
    <w:p w:rsidR="00D92DAE" w:rsidRDefault="00D92DAE" w:rsidP="00A03366">
      <w:pPr>
        <w:pStyle w:val="ad"/>
        <w:spacing w:before="0" w:after="0" w:line="360" w:lineRule="auto"/>
        <w:ind w:left="567"/>
        <w:rPr>
          <w:rFonts w:ascii="David" w:hAnsi="David" w:cs="David"/>
          <w:sz w:val="24"/>
          <w:szCs w:val="24"/>
          <w:rtl/>
        </w:rPr>
      </w:pPr>
    </w:p>
    <w:p w:rsidR="00A03366" w:rsidRDefault="00A03366" w:rsidP="00A03366">
      <w:pPr>
        <w:pStyle w:val="ad"/>
        <w:spacing w:before="0" w:after="0" w:line="360" w:lineRule="auto"/>
        <w:ind w:left="567"/>
        <w:rPr>
          <w:rFonts w:ascii="David" w:hAnsi="David" w:cs="David"/>
          <w:sz w:val="24"/>
          <w:szCs w:val="24"/>
        </w:rPr>
      </w:pPr>
      <w:r>
        <w:rPr>
          <w:rFonts w:ascii="David" w:hAnsi="David" w:cs="David"/>
          <w:sz w:val="24"/>
          <w:szCs w:val="24"/>
          <w:rtl/>
        </w:rPr>
        <w:t xml:space="preserve">כן נטען בבקשה, כי </w:t>
      </w:r>
      <w:r>
        <w:rPr>
          <w:rFonts w:ascii="David" w:hAnsi="David" w:cs="David"/>
          <w:b/>
          <w:bCs/>
          <w:sz w:val="24"/>
          <w:szCs w:val="24"/>
          <w:rtl/>
        </w:rPr>
        <w:t xml:space="preserve">"האיש סבור כי </w:t>
      </w:r>
      <w:r>
        <w:rPr>
          <w:rFonts w:ascii="David" w:hAnsi="David" w:cs="David"/>
          <w:b/>
          <w:bCs/>
          <w:sz w:val="24"/>
          <w:szCs w:val="24"/>
          <w:u w:val="single"/>
          <w:rtl/>
        </w:rPr>
        <w:t>בלא ערובות, והוראות ברורות</w:t>
      </w:r>
      <w:r>
        <w:rPr>
          <w:rFonts w:ascii="David" w:hAnsi="David" w:cs="David"/>
          <w:b/>
          <w:bCs/>
          <w:sz w:val="24"/>
          <w:szCs w:val="24"/>
          <w:rtl/>
        </w:rPr>
        <w:t>, פסק הדין לא יגשים את תכליתו ולא יספק את ההגנה הנדרשת..."</w:t>
      </w:r>
      <w:r>
        <w:rPr>
          <w:rFonts w:ascii="David" w:hAnsi="David" w:cs="David"/>
          <w:sz w:val="24"/>
          <w:szCs w:val="24"/>
          <w:rtl/>
        </w:rPr>
        <w:t xml:space="preserve"> (סעיף 4 לבקשה) (ההדגשה אינה במקור, ש.כ.).</w:t>
      </w:r>
    </w:p>
    <w:p w:rsidR="00A03366" w:rsidRDefault="00A03366" w:rsidP="00A03366">
      <w:pPr>
        <w:pStyle w:val="ad"/>
        <w:spacing w:before="0" w:after="0" w:line="360" w:lineRule="auto"/>
        <w:ind w:left="567"/>
        <w:rPr>
          <w:rFonts w:ascii="David" w:hAnsi="David" w:cs="David"/>
          <w:sz w:val="24"/>
          <w:szCs w:val="24"/>
          <w:rtl/>
        </w:rPr>
      </w:pPr>
      <w:r>
        <w:rPr>
          <w:rFonts w:ascii="David" w:hAnsi="David" w:cs="David"/>
          <w:sz w:val="24"/>
          <w:szCs w:val="24"/>
          <w:rtl/>
        </w:rPr>
        <w:lastRenderedPageBreak/>
        <w:t xml:space="preserve">הנה כי כן, פנייתו של המבקש לבית המשפט בבקשה להשלמת פסק הדין בעניין ההפרות נשוא הבקשות דנן, היא הנותנת כי אף לשיטת המבקש עצמו בפסק הדין מיום 17.8.2024 לא ניתן  כל צו האוסר על המשיבה להיכנס לחדר השינה המשותף ו/או האוסר עליה לפנות אליו ו/או האוסר על המשיבה לשוחח אודותיו עם ילדיהם המשותפים, שאם לא כן לא היה נדרש המבקש להגשת בקשה כאמור. ויודגש; המבקש הוא אשר טען בבקשתו שפסק הדין אינו כולל הוראות ברורות ומפורשות ומטעם זה עתר להשלמתו. </w:t>
      </w:r>
    </w:p>
    <w:p w:rsidR="00A03366" w:rsidRDefault="00A03366" w:rsidP="00A03366">
      <w:pPr>
        <w:spacing w:line="360" w:lineRule="auto"/>
        <w:rPr>
          <w:rFonts w:ascii="David" w:hAnsi="David"/>
          <w:rtl/>
        </w:rPr>
      </w:pPr>
    </w:p>
    <w:p w:rsidR="00A03366" w:rsidRDefault="00A03366" w:rsidP="00A03366">
      <w:pPr>
        <w:pStyle w:val="ad"/>
        <w:numPr>
          <w:ilvl w:val="0"/>
          <w:numId w:val="1"/>
        </w:numPr>
        <w:spacing w:before="0" w:after="0" w:line="360" w:lineRule="auto"/>
        <w:ind w:left="567" w:hanging="567"/>
        <w:rPr>
          <w:rFonts w:ascii="David" w:hAnsi="David" w:cs="David"/>
          <w:b/>
          <w:bCs/>
          <w:sz w:val="24"/>
          <w:szCs w:val="24"/>
        </w:rPr>
      </w:pPr>
      <w:r>
        <w:rPr>
          <w:rFonts w:ascii="David" w:hAnsi="David" w:cs="David"/>
          <w:b/>
          <w:bCs/>
          <w:sz w:val="24"/>
          <w:szCs w:val="24"/>
          <w:rtl/>
        </w:rPr>
        <w:t>דברים אלו מקבלים משנה תוקף עת הבקשה להשלמת פסק הדין כאמור נדחתה בהחלטתו של כב' השופט שי שמואל ביום 20.8.2024.</w:t>
      </w:r>
    </w:p>
    <w:p w:rsidR="00A03366" w:rsidRDefault="00A03366" w:rsidP="00A03366">
      <w:pPr>
        <w:pStyle w:val="ad"/>
        <w:spacing w:before="0" w:after="0" w:line="360" w:lineRule="auto"/>
        <w:ind w:left="567"/>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Pr>
      </w:pPr>
      <w:r>
        <w:rPr>
          <w:rFonts w:ascii="David" w:hAnsi="David" w:cs="David"/>
          <w:sz w:val="24"/>
          <w:szCs w:val="24"/>
          <w:rtl/>
        </w:rPr>
        <w:t xml:space="preserve">זאת ועוד; בהחלטתו של בית המשפט המחוזי בערעור, נקבע כי בהעדר צו אופרטיבי האוסר על המשיבה במפורש למנוע כניסה לבית, וכאשר סעד זה נדחה באותה החלטה, אין החלטה מחייבת אשר ניתן בגינה להגיש בקשה לפי פקודת הביזיון. </w:t>
      </w:r>
      <w:r>
        <w:rPr>
          <w:rFonts w:ascii="David" w:hAnsi="David" w:cs="David"/>
          <w:b/>
          <w:bCs/>
          <w:sz w:val="24"/>
          <w:szCs w:val="24"/>
          <w:rtl/>
        </w:rPr>
        <w:t>ככל שאין צו האוסר על המשיבה במפורש למנוע כניסה לבית, מכוח קל וחומר, אין צו מפורש האוסר עליה למנוע כניסתו של המבקש לחדר השינה המשותף של הצדדים</w:t>
      </w:r>
      <w:r>
        <w:rPr>
          <w:rFonts w:ascii="David" w:hAnsi="David" w:cs="David"/>
          <w:sz w:val="24"/>
          <w:szCs w:val="24"/>
          <w:rtl/>
        </w:rPr>
        <w:t xml:space="preserve">. </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אשר לטענות המבקש בבקשה הרביעית הכרוכות אחר השימוש בחניית הבית - מעבר לכך שהמשיבה מכחישה הטענה האמורה ואף טוענת כי המבקש הוא זה שחוסם אותה עם רכבו, הרי שאין כל צו מפורש האוסר ו/או מסדיר השימוש בחניית הבית ודין טענה זו להידחות.</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אף דינן של טענות המבקש ביחס להפרות בגין אמירותיה הנטענות של המשיבה לפני הילדים להידחות. </w:t>
      </w:r>
      <w:r>
        <w:rPr>
          <w:rFonts w:ascii="David" w:hAnsi="David" w:cs="David"/>
          <w:b/>
          <w:bCs/>
          <w:sz w:val="24"/>
          <w:szCs w:val="24"/>
          <w:rtl/>
        </w:rPr>
        <w:t>ראשית</w:t>
      </w:r>
      <w:r>
        <w:rPr>
          <w:rFonts w:ascii="David" w:hAnsi="David" w:cs="David"/>
          <w:sz w:val="24"/>
          <w:szCs w:val="24"/>
          <w:rtl/>
        </w:rPr>
        <w:t xml:space="preserve"> וכאמור לעיל, אין כל צו – לא כל שכן צו מפורש וברור - האוסר על המשיבה (ו/או על המבקש), לשוחח עם הקטינים על ההורה האחר. </w:t>
      </w:r>
      <w:r>
        <w:rPr>
          <w:rFonts w:ascii="David" w:hAnsi="David" w:cs="David"/>
          <w:b/>
          <w:bCs/>
          <w:sz w:val="24"/>
          <w:szCs w:val="24"/>
          <w:rtl/>
        </w:rPr>
        <w:t>שנית</w:t>
      </w:r>
      <w:r>
        <w:rPr>
          <w:rFonts w:ascii="David" w:hAnsi="David" w:cs="David"/>
          <w:sz w:val="24"/>
          <w:szCs w:val="24"/>
          <w:rtl/>
        </w:rPr>
        <w:t xml:space="preserve">, לא הוכח בפני כי המשיבה אכן דיברה סרה על המבקש בפני הקטינים. </w:t>
      </w:r>
      <w:r>
        <w:rPr>
          <w:rFonts w:ascii="David" w:hAnsi="David" w:cs="David"/>
          <w:b/>
          <w:bCs/>
          <w:sz w:val="24"/>
          <w:szCs w:val="24"/>
          <w:rtl/>
        </w:rPr>
        <w:t>שלישית</w:t>
      </w:r>
      <w:r>
        <w:rPr>
          <w:rFonts w:ascii="David" w:hAnsi="David" w:cs="David"/>
          <w:sz w:val="24"/>
          <w:szCs w:val="24"/>
          <w:rtl/>
        </w:rPr>
        <w:t>, לא מצאתי כי אמירותיה של המשיבה כפי שפורטו בבקשה - ככל שנאמרו חרף הכחשתה - עולות כדי הטרדה ו/או השפלה לפי הצו.</w:t>
      </w:r>
    </w:p>
    <w:p w:rsidR="00A03366" w:rsidRDefault="00A03366" w:rsidP="00A03366">
      <w:pPr>
        <w:pStyle w:val="ad"/>
        <w:rPr>
          <w:rFonts w:ascii="David" w:hAnsi="David" w:cs="David"/>
          <w:sz w:val="24"/>
          <w:szCs w:val="24"/>
        </w:rPr>
      </w:pPr>
    </w:p>
    <w:p w:rsidR="00A03366" w:rsidRDefault="00A03366" w:rsidP="0044283E">
      <w:pPr>
        <w:pStyle w:val="ad"/>
        <w:spacing w:before="0" w:after="0" w:line="360" w:lineRule="auto"/>
        <w:ind w:left="567"/>
        <w:rPr>
          <w:rFonts w:ascii="David" w:hAnsi="David" w:cs="David"/>
          <w:sz w:val="24"/>
          <w:szCs w:val="24"/>
          <w:rtl/>
        </w:rPr>
      </w:pPr>
      <w:r>
        <w:rPr>
          <w:rFonts w:ascii="David" w:hAnsi="David" w:cs="David"/>
          <w:sz w:val="24"/>
          <w:szCs w:val="24"/>
          <w:rtl/>
        </w:rPr>
        <w:t xml:space="preserve">בהקשר זה יצוין כי דווקא מתוך האסמכתאות שצורפו לתגובתה של המשיבה (צילומי מסך מאפליקציית "וואטסאפ" ממכשיר הנייד של הקטינים), עולה כי המבקש </w:t>
      </w:r>
      <w:r>
        <w:rPr>
          <w:rFonts w:ascii="David" w:hAnsi="David" w:cs="David"/>
          <w:b/>
          <w:bCs/>
          <w:sz w:val="24"/>
          <w:szCs w:val="24"/>
          <w:rtl/>
        </w:rPr>
        <w:t>הוא</w:t>
      </w:r>
      <w:r>
        <w:rPr>
          <w:rFonts w:ascii="David" w:hAnsi="David" w:cs="David"/>
          <w:sz w:val="24"/>
          <w:szCs w:val="24"/>
          <w:rtl/>
        </w:rPr>
        <w:t xml:space="preserve"> אשר מערב הקטינים בסכסוך שבין הצדדים ובהליכים המשפטיים; מבקש מהם לתווך בינו לבין המשיבה בעניינים הכרוכים בחלוקת חדרי השינה בבית ואף מסיתם כנגד האם ומשפחתה המורחבת ("מבקש מכם לנסות לקבל מאמא תשובה לגבי 2 האופציות על מנת להימנע מחיכוכים ובמטרה שיהיה שקט בבית ולכל אחד תהיה הפינה שלו"; "לאחר מסירת המפתח בסופ"ש, ביקרתי בבית ביום ראשון וגיליתי שיש מנעול בחדר שהייתי בו והוא נעול, כלומר כרגע 2 החדרים (המשרד והחדר שהייתי בו) נעולים בפניי ולכן אני פונה אליכם כדי לבדוק איתה"; "ממש מבקש, לא </w:t>
      </w:r>
      <w:r>
        <w:rPr>
          <w:rFonts w:ascii="David" w:hAnsi="David" w:cs="David"/>
          <w:sz w:val="24"/>
          <w:szCs w:val="24"/>
          <w:rtl/>
        </w:rPr>
        <w:lastRenderedPageBreak/>
        <w:t>לשתף פעולה עם שקרים, אצלנו מילה זו מילה"; "בכל מקרה, כפי שאמרתי, אני ניתקתי קשר עם אמא מהאירוע האלים שלה ב-15.7 כשבאתי עם סבא, לא מעוניין בקשר עם מי שפגע פיזית ומילולית ומאז ממשיך לפגוע"; "אמא מתחילה שוב להתחרפן ומכניסה את מאיה לתוך זה"; "אין לה מונופול ושליטה בלעדית עליכם, אני הורה שלכם שגידל אתכם ויש לי בדיוק אותם זכויות שיש לאמא. אין לה זכות לברוח איתכם למרכז ולכם יש זכות להגיד את דעתכם, אם אתם מפחדים/חוששים ממנה"; "לפחות יצא טוב מכל התהליך הזה שהמשפחה של אמא התעוררה אחרי 16 שנות נישואין ונזכרה שיש להם משפחה ב</w:t>
      </w:r>
      <w:r w:rsidR="0044283E">
        <w:rPr>
          <w:rFonts w:ascii="David" w:hAnsi="David" w:cs="David" w:hint="cs"/>
          <w:sz w:val="24"/>
          <w:szCs w:val="24"/>
          <w:rtl/>
        </w:rPr>
        <w:t>-(---)</w:t>
      </w:r>
      <w:r>
        <w:rPr>
          <w:rFonts w:ascii="David" w:hAnsi="David" w:cs="David"/>
          <w:sz w:val="24"/>
          <w:szCs w:val="24"/>
          <w:rtl/>
        </w:rPr>
        <w:t xml:space="preserve"> ומארחים אתכם ואתם נהנים, אחרי 16 שנות נישואין כמעט במעמד משפחה אחת בלבד – המשפחה שלי"). </w:t>
      </w:r>
    </w:p>
    <w:p w:rsidR="00A03366" w:rsidRDefault="00A03366" w:rsidP="00A03366">
      <w:pPr>
        <w:pStyle w:val="ad"/>
        <w:spacing w:before="0" w:after="0" w:line="360" w:lineRule="auto"/>
        <w:ind w:left="567"/>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זאת עוד. כפי שהובהר למבקש בפסק הדין בערעור, הפקודה צופה פני עתיד כדי לאכוף החלטה שיפוטית שבוזתה וכי לא ניתן להטיל קנס על אי כיבוד בעבר של החלטות. שיקול זה תומך אף הוא בדחיית הבקשה לכוף את המשיבה קנס בגין כל הפרה של הצו, כפי שפורטו בבקשה. </w:t>
      </w:r>
    </w:p>
    <w:p w:rsidR="00A03366" w:rsidRDefault="00A03366" w:rsidP="00A03366">
      <w:pPr>
        <w:pStyle w:val="ad"/>
        <w:spacing w:before="0" w:after="0" w:line="360" w:lineRule="auto"/>
        <w:ind w:left="567"/>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Pr>
      </w:pPr>
      <w:r>
        <w:rPr>
          <w:rFonts w:ascii="David" w:hAnsi="David" w:cs="David"/>
          <w:sz w:val="24"/>
          <w:szCs w:val="24"/>
          <w:rtl/>
        </w:rPr>
        <w:t>סבורני, כי בנסיבות העניין שלפניי, לא ניתן להצביע על הפרת צו ו/או חיוב ברור, מפורש וחד-משמעי המאפשר לבית המשפט אכיפתו על פי ומכוח הליכי ביזיון בית משפט.</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בנדוננו, לא התרשמתי כי יש הפרה של צו בית המשפט, לבטח לא במידה המצדיקה אכיפה תוך שימוש באמצעים הקיצוניים שנקבעו בפקודה, אשר דין הוא שהפעלתם תעשה במשורה ובריסון. </w:t>
      </w:r>
    </w:p>
    <w:p w:rsidR="00A03366" w:rsidRDefault="00A03366" w:rsidP="00A03366">
      <w:pPr>
        <w:pStyle w:val="ad"/>
        <w:rPr>
          <w:rFonts w:ascii="David" w:hAnsi="David" w:cs="David"/>
          <w:sz w:val="24"/>
          <w:szCs w:val="24"/>
          <w:rtl/>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לאור המקובץ לעיל, הבקשות (בקשה מס' 20 ובקשה מס' 21) נדחות בזו. </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בשים לב להתנהלותו ודרך הילוכו של המבקש בנקיטת בקשות מכוח הפקודה ושעה שהמבקש לא הפנים החלטת בית המשפט שלערעור ולא מצא לחזור בו מבקשתו (חרף החלטתי מיום 6.10.2024) ואף הגדיל לעשות והגיש בקשה נוספת (רביעית) על פי הפקודה, מצאתי לחייבו בהוצאות בסך 10,000 ₪ אשר ישולמו למשיבה בתוך 30 יום. </w:t>
      </w:r>
    </w:p>
    <w:p w:rsidR="00A03366" w:rsidRDefault="00A03366" w:rsidP="00A03366">
      <w:pPr>
        <w:pStyle w:val="ad"/>
        <w:rPr>
          <w:rFonts w:ascii="David" w:hAnsi="David" w:cs="David"/>
          <w:sz w:val="24"/>
          <w:szCs w:val="24"/>
        </w:rPr>
      </w:pPr>
    </w:p>
    <w:p w:rsidR="00A03366" w:rsidRDefault="00A03366" w:rsidP="00A03366">
      <w:pPr>
        <w:pStyle w:val="ad"/>
        <w:numPr>
          <w:ilvl w:val="0"/>
          <w:numId w:val="1"/>
        </w:numPr>
        <w:spacing w:before="0" w:after="0" w:line="360" w:lineRule="auto"/>
        <w:ind w:left="567" w:hanging="567"/>
        <w:rPr>
          <w:rFonts w:ascii="David" w:hAnsi="David" w:cs="David"/>
          <w:sz w:val="24"/>
          <w:szCs w:val="24"/>
          <w:rtl/>
        </w:rPr>
      </w:pPr>
      <w:r>
        <w:rPr>
          <w:rFonts w:ascii="David" w:hAnsi="David" w:cs="David"/>
          <w:sz w:val="24"/>
          <w:szCs w:val="24"/>
          <w:rtl/>
        </w:rPr>
        <w:t xml:space="preserve">בכך תם הדיון בבקשות שבכותרת. </w:t>
      </w:r>
    </w:p>
    <w:p w:rsidR="00A03366" w:rsidRDefault="00A03366" w:rsidP="00A03366">
      <w:pPr>
        <w:pStyle w:val="ad"/>
        <w:rPr>
          <w:rFonts w:ascii="David" w:hAnsi="David" w:cs="David"/>
          <w:sz w:val="24"/>
          <w:szCs w:val="24"/>
        </w:rPr>
      </w:pPr>
    </w:p>
    <w:p w:rsidR="00A03366" w:rsidRDefault="00A03366" w:rsidP="00A03366">
      <w:pPr>
        <w:spacing w:line="360" w:lineRule="auto"/>
        <w:rPr>
          <w:rFonts w:ascii="David" w:hAnsi="David"/>
          <w:rtl/>
        </w:rPr>
      </w:pPr>
      <w:r>
        <w:rPr>
          <w:rFonts w:ascii="David" w:hAnsi="David"/>
          <w:rtl/>
        </w:rPr>
        <w:t xml:space="preserve">פסק הדין ניתן לפרסום בהשמטת שמות הצדדים ופרטים מזהים אחרים. </w:t>
      </w:r>
    </w:p>
    <w:p w:rsidR="00694556" w:rsidRDefault="00694556">
      <w:pPr>
        <w:spacing w:line="360" w:lineRule="auto"/>
        <w:jc w:val="both"/>
        <w:rPr>
          <w:rFonts w:ascii="Arial" w:hAnsi="Arial"/>
          <w:noProof w:val="0"/>
          <w:rtl/>
        </w:rPr>
      </w:pPr>
    </w:p>
    <w:p w:rsidR="009B28A7" w:rsidRDefault="009B28A7">
      <w:pPr>
        <w:spacing w:line="360" w:lineRule="auto"/>
        <w:jc w:val="both"/>
        <w:rPr>
          <w:rFonts w:ascii="Arial" w:hAnsi="Arial"/>
          <w:noProof w:val="0"/>
          <w:rtl/>
        </w:rPr>
      </w:pPr>
    </w:p>
    <w:p w:rsidR="009B28A7" w:rsidRPr="00DE1E7D" w:rsidRDefault="009B28A7">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2024</w:t>
          </w:r>
        </w:sdtContent>
      </w:sdt>
      <w:r w:rsidR="00005C8B">
        <w:rPr>
          <w:rFonts w:ascii="Arial" w:hAnsi="Arial"/>
          <w:noProof w:val="0"/>
          <w:rtl/>
        </w:rPr>
        <w:t>, בהעדר הצדדים.</w:t>
      </w:r>
    </w:p>
    <w:p w:rsidR="00C43648" w:rsidRDefault="008C3DF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91037391"/>
        </w:sdtPr>
        <w:sdtEndPr/>
        <w:sdtContent>
          <w:r w:rsidR="007B35B4">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DFD" w:rsidRDefault="008C3DFD">
      <w:r>
        <w:separator/>
      </w:r>
    </w:p>
  </w:endnote>
  <w:endnote w:type="continuationSeparator" w:id="0">
    <w:p w:rsidR="008C3DFD" w:rsidRDefault="008C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E3D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E3DD9">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DFD" w:rsidRDefault="008C3DFD">
      <w:r>
        <w:separator/>
      </w:r>
    </w:p>
  </w:footnote>
  <w:footnote w:type="continuationSeparator" w:id="0">
    <w:p w:rsidR="008C3DFD" w:rsidRDefault="008C3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35150" w:rsidRDefault="008C3DFD" w:rsidP="00F414A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1121-08-24</w:t>
              </w:r>
            </w:sdtContent>
          </w:sdt>
          <w:r w:rsidR="00005C8B">
            <w:rPr>
              <w:b/>
              <w:bCs/>
              <w:noProof w:val="0"/>
              <w:sz w:val="26"/>
              <w:szCs w:val="26"/>
              <w:rtl/>
            </w:rPr>
            <w:t xml:space="preserve"> </w:t>
          </w:r>
          <w:sdt>
            <w:sdtPr>
              <w:rPr>
                <w:rtl/>
              </w:rPr>
              <w:alias w:val="1172"/>
              <w:tag w:val="1172"/>
              <w:id w:val="-595170033"/>
              <w:text w:multiLine="1"/>
            </w:sdtPr>
            <w:sdtEndPr/>
            <w:sdtContent>
              <w:r w:rsidR="00F414AB">
                <w:rPr>
                  <w:rFonts w:hint="cs"/>
                  <w:b/>
                  <w:bCs/>
                  <w:noProof w:val="0"/>
                  <w:sz w:val="26"/>
                  <w:szCs w:val="26"/>
                  <w:rtl/>
                </w:rPr>
                <w:t>פלוני</w:t>
              </w:r>
              <w:r w:rsidR="00064651">
                <w:rPr>
                  <w:b/>
                  <w:bCs/>
                  <w:noProof w:val="0"/>
                  <w:sz w:val="26"/>
                  <w:szCs w:val="26"/>
                  <w:rtl/>
                </w:rPr>
                <w:t xml:space="preserve"> נ' </w:t>
              </w:r>
              <w:r w:rsidR="00F414AB">
                <w:rPr>
                  <w:rFonts w:hint="cs"/>
                  <w:b/>
                  <w:bCs/>
                  <w:noProof w:val="0"/>
                  <w:sz w:val="26"/>
                  <w:szCs w:val="26"/>
                  <w:rtl/>
                </w:rPr>
                <w:t>פלונית</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A2283"/>
    <w:multiLevelType w:val="hybridMultilevel"/>
    <w:tmpl w:val="8CE6E2EC"/>
    <w:lvl w:ilvl="0" w:tplc="46EAF53C">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 w15:restartNumberingAfterBreak="0">
    <w:nsid w:val="1EDF19AD"/>
    <w:multiLevelType w:val="hybridMultilevel"/>
    <w:tmpl w:val="3D2A0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5202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52024&amp;lt;/CaseID&amp;gt;_x000d__x000a_        &amp;lt;CaseMonth&amp;gt;8&amp;lt;/CaseMonth&amp;gt;_x000d__x000a_        &amp;lt;CaseYear&amp;gt;2024&amp;lt;/CaseYear&amp;gt;_x000d__x000a_        &amp;lt;CaseNumber&amp;gt;1121&amp;lt;/CaseNumber&amp;gt;_x000d__x000a_        &amp;lt;NumeratorGroupID&amp;gt;1&amp;lt;/NumeratorGroupID&amp;gt;_x000d__x000a_        &amp;lt;CaseName&amp;gt;פרישמן נ&amp;#39; פרנקל פרישמן&amp;lt;/CaseName&amp;gt;_x000d__x000a_        &amp;lt;CourtID&amp;gt;41&amp;lt;/CourtID&amp;gt;_x000d__x000a_        &amp;lt;CaseTypeID&amp;gt;10177&amp;lt;/CaseTypeID&amp;gt;_x000d__x000a_        &amp;lt;CaseInterestID&amp;gt;95&amp;lt;/CaseInterestID&amp;gt;_x000d__x000a_        &amp;lt;CaseJudgeName&amp;gt;שני כ&amp;quot;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121-08-24&amp;lt;/CaseDisplayIdentifier&amp;gt;_x000d__x000a_        &amp;lt;CaseTypeDesc&amp;gt;ה&amp;quot;ט&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10-10T11:30:00+03:00&amp;lt;/CasePreviousSessionDate&amp;gt;_x000d__x000a_        &amp;lt;TemporaryAidStatus&amp;gt;קיימים סעדים זמניים בתיק&amp;lt;/TemporaryAidStatus&amp;gt;_x000d__x000a_        &amp;lt;CaseOpenDate&amp;gt;2024-08-01T10:08:00+03:00&amp;lt;/CaseOpenDate&amp;gt;_x000d__x000a_        &amp;lt;PleaTypeID&amp;gt;5&amp;lt;/PleaTypeID&amp;gt;_x000d__x000a_        &amp;lt;CourtLevelID&amp;gt;1&amp;lt;/CourtLevelID&amp;gt;_x000d__x000a_        &amp;lt;CourtLevelCaseTypeInterestID&amp;gt;124&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דיסק און קי נמסר לשופטת שני._x000d__x000a__x000d__x000a_14.8.24 לורי &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52024&amp;lt;/CaseID&amp;gt;_x000d__x000a_        &amp;lt;CaseMonth&amp;gt;8&amp;lt;/CaseMonth&amp;gt;_x000d__x000a_        &amp;lt;CaseYear&amp;gt;2024&amp;lt;/CaseYear&amp;gt;_x000d__x000a_        &amp;lt;CaseNumber&amp;gt;1121&amp;lt;/CaseNumber&amp;gt;_x000d__x000a_        &amp;lt;NumeratorGroupID&amp;gt;1&amp;lt;/NumeratorGroupID&amp;gt;_x000d__x000a_        &amp;lt;CaseName&amp;gt;פרישמן נ&amp;#39; פרנקל פרישמן&amp;lt;/CaseName&amp;gt;_x000d__x000a_        &amp;lt;CourtID&amp;gt;41&amp;lt;/CourtID&amp;gt;_x000d__x000a_        &amp;lt;CaseTypeID&amp;gt;10177&amp;lt;/CaseTypeID&amp;gt;_x000d__x000a_        &amp;lt;CaseInterestID&amp;gt;95&amp;lt;/CaseInterestID&amp;gt;_x000d__x000a_        &amp;lt;CaseJudgeName&amp;gt;שני כ&amp;quot;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121-08-24&amp;lt;/CaseDisplayIdentifier&amp;gt;_x000d__x000a_        &amp;lt;CaseTypeDesc&amp;gt;ה&amp;quot;ט&amp;lt;/CaseTypeDesc&amp;gt;_x000d__x000a_        &amp;lt;CourtDesc&amp;gt;שלום באר שבע&amp;lt;/CourtDesc&amp;gt;_x000d__x000a_        &amp;lt;CaseStageDesc&amp;gt;תיק אלקטרוני&amp;lt;/CaseStageDesc&amp;gt;_x000d__x000a_        &amp;lt;CaseOpenDate&amp;gt;2024-08-01T10:08:00+03:00&amp;lt;/CaseOpenDate&amp;gt;_x000d__x000a_        &amp;lt;PleaTypeID&amp;gt;5&amp;lt;/PleaTypeID&amp;gt;_x000d__x000a_        &amp;lt;CourtLevelID&amp;gt;1&amp;lt;/CourtLevelID&amp;gt;_x000d__x000a_        &amp;lt;CourtLevelCaseTypeInterestID&amp;gt;124&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דיסק און קי נמסר לשופטת שני._x000d__x000a__x000d__x000a_14.8.24 לור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0T21:21:03.6079055+03:00&amp;lt;/DecisionStatusChangeDate&amp;gt;_x000d__x000a_        &amp;lt;DecisionSignatureDate&amp;gt;2024-10-10T21:21:03.6079055+03:00&amp;lt;/DecisionSignatureDate&amp;gt;_x000d__x000a_        &amp;lt;DecisionSignatureUserID&amp;gt;040360844@GOV.IL&amp;lt;/DecisionSignatureUserID&amp;gt;_x000d__x000a_        &amp;lt;DecisionCreateDate&amp;gt;2024-10-10T21:21:03.6079055+03:00&amp;lt;/DecisionCreateDate&amp;gt;_x000d__x000a_        &amp;lt;DecisionChangeDate&amp;gt;2024-10-10T21:21:03.6079055+03:00&amp;lt;/DecisionChangeDate&amp;gt;_x000d__x000a_        &amp;lt;DecisionChangeUserID&amp;gt;040360844@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45202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5"/>
    <w:docVar w:name="NGCS.TemplateCaseTypeID" w:val="10177"/>
    <w:docVar w:name="NGCS.TemplateCategoryID" w:val="80"/>
    <w:docVar w:name="NGCS.TemplateCourtID" w:val="41"/>
    <w:docVar w:name="NGCS.TemplateProceedingID" w:val="3"/>
    <w:docVar w:name="SelectedDocumentID" w:val="457620217"/>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1958"/>
    <w:rsid w:val="001A48DD"/>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3DD9"/>
    <w:rsid w:val="0040096C"/>
    <w:rsid w:val="00414F1F"/>
    <w:rsid w:val="0043125D"/>
    <w:rsid w:val="0043502B"/>
    <w:rsid w:val="0044283E"/>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B1907"/>
    <w:rsid w:val="005F4F09"/>
    <w:rsid w:val="0061431B"/>
    <w:rsid w:val="00622BAA"/>
    <w:rsid w:val="006306CF"/>
    <w:rsid w:val="00630809"/>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35B4"/>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A52A2"/>
    <w:rsid w:val="008C3DFD"/>
    <w:rsid w:val="008C5714"/>
    <w:rsid w:val="008D10B2"/>
    <w:rsid w:val="00903896"/>
    <w:rsid w:val="00906F3D"/>
    <w:rsid w:val="0094424E"/>
    <w:rsid w:val="00955642"/>
    <w:rsid w:val="009622DF"/>
    <w:rsid w:val="0096493F"/>
    <w:rsid w:val="00967DFF"/>
    <w:rsid w:val="00994341"/>
    <w:rsid w:val="00996935"/>
    <w:rsid w:val="009B28A7"/>
    <w:rsid w:val="009D1A48"/>
    <w:rsid w:val="009E11EE"/>
    <w:rsid w:val="009E1CE7"/>
    <w:rsid w:val="009E4EA5"/>
    <w:rsid w:val="009F164B"/>
    <w:rsid w:val="009F323C"/>
    <w:rsid w:val="00A03366"/>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2DAE"/>
    <w:rsid w:val="00D96D8C"/>
    <w:rsid w:val="00DA6649"/>
    <w:rsid w:val="00DC1259"/>
    <w:rsid w:val="00DC1BD2"/>
    <w:rsid w:val="00DC2571"/>
    <w:rsid w:val="00DC487C"/>
    <w:rsid w:val="00DE1E7D"/>
    <w:rsid w:val="00DE6BF6"/>
    <w:rsid w:val="00E04E84"/>
    <w:rsid w:val="00E1068A"/>
    <w:rsid w:val="00E25884"/>
    <w:rsid w:val="00E25B55"/>
    <w:rsid w:val="00E31C2B"/>
    <w:rsid w:val="00E35150"/>
    <w:rsid w:val="00E5426A"/>
    <w:rsid w:val="00E54642"/>
    <w:rsid w:val="00E54CD9"/>
    <w:rsid w:val="00E80CBE"/>
    <w:rsid w:val="00E93F66"/>
    <w:rsid w:val="00E962E3"/>
    <w:rsid w:val="00EB6C79"/>
    <w:rsid w:val="00EC37E9"/>
    <w:rsid w:val="00F038D8"/>
    <w:rsid w:val="00F05362"/>
    <w:rsid w:val="00F06995"/>
    <w:rsid w:val="00F13623"/>
    <w:rsid w:val="00F414AB"/>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03366"/>
    <w:pPr>
      <w:spacing w:before="200" w:after="200" w:line="360" w:lineRule="exact"/>
      <w:ind w:left="720"/>
      <w:contextualSpacing/>
      <w:jc w:val="both"/>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80822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54ABD" w:rsidP="00054ABD">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54ABD"/>
    <w:rsid w:val="000A4ACE"/>
    <w:rsid w:val="002A56A9"/>
    <w:rsid w:val="002D02C4"/>
    <w:rsid w:val="00345C9D"/>
    <w:rsid w:val="00405FEA"/>
    <w:rsid w:val="004745AE"/>
    <w:rsid w:val="0048651F"/>
    <w:rsid w:val="005157ED"/>
    <w:rsid w:val="00556D67"/>
    <w:rsid w:val="00743F8C"/>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D194A"/>
    <w:rsid w:val="00BE6557"/>
    <w:rsid w:val="00C96C06"/>
    <w:rsid w:val="00E31BF6"/>
    <w:rsid w:val="00E81DB1"/>
    <w:rsid w:val="00F035B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54AB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273497009</CasePartyID>
        <PartyTypeID>3</PartyTypeID>
        <ActivityStatusID>1</ActivityStatusID>
        <LegalEntityID>45205473</LegalEntityID>
        <CaseLegalEntityID>129917829</CaseLegalEntityID>
        <AssistantRoleID>8</AssistantRoleID>
        <AuthenticationTypeID>13</AuthenticationTypeID>
        <AuthenticationTypeName>משרדי ממשלה</AuthenticationTypeName>
        <LegalEntityNumber>570000884</LegalEntityNumber>
        <IsMainPartyType>true</IsMainPartyType>
        <CaseDisplayIdentifier>1121-08-24</CaseDisplayIdentifier>
        <CaseTypeID>10177</CaseTypeID>
        <CaseTypeName>הטרדה מאיימת וצו הגנה (ה"ט)</CaseTypeName>
        <CaseName>פרישמן נ' פרנקל פרישמן</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משטרת ישראל - רכז רישוי נשק באר שבע</FullName>
        <LastName>משטרת ישראל - רכז רישוי נשק באר שבע</LastName>
        <PartyPropertyName/>
        <AuthenticationTypeAndNumber>משרדי ממשלה 570000885</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273497043</CasePartyID>
        <PartyTypeID>3</PartyTypeID>
        <ActivityStatusID>1</ActivityStatusID>
        <LegalEntityID>45205497</LegalEntityID>
        <CaseLegalEntityID>129917843</CaseLegalEntityID>
        <AssistantRoleID>33</AssistantRoleID>
        <AuthenticationTypeID>13</AuthenticationTypeID>
        <AuthenticationTypeName>משרדי ממשלה</AuthenticationTypeName>
        <LegalEntityNumber>570000885</LegalEntityNumber>
        <IsMainPartyType>true</IsMainPartyType>
        <CaseDisplayIdentifier>1121-08-24</CaseDisplayIdentifier>
        <CaseTypeID>10177</CaseTypeID>
        <CaseTypeName>הטרדה מאיימת וצו הגנה (ה"ט)</CaseTypeName>
        <CaseName>פרישמן נ' פרנקל פרישמן</CaseName>
        <FullAddress>שד' טוביה 5 באר שבע אדי יושטיין</FullAddress>
        <MotionID>0</MotionID>
        <CasePleaID>0</CasePleaID>
        <LinkedCaseID>0</LinkedCaseID>
        <PartyID>1</PartyID>
        <CasePartyCategoryID>2</CasePartyCategoryID>
        <LegalEntityAddressID>78630486</LegalEntityAddressID>
        <PleaTypeID>5</PleaTypeID>
        <GroupPartyAlias/>
        <IsConverted>false</IsConverted>
        <LegalEntityRegisteredNameID>1932520</LegalEntityRegisteredNameID>
        <RepresentatedNamesOfAssistant/>
        <LegalEntityTypeID>3</LegalEntityTypeID>
        <IsVerdictExists>false</IsVerdictExists>
        <IsAsirAzir>false</IsAsirAzir>
        <MainAndSecSpec/>
        <IsPublicationProhibited>false</IsPublicationProhibited>
        <PublicationProhibitedFullName>משטרת ישראל - רכז רישוי נשק באר שבע</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איתן שלו סולקין</FullName>
        <FirstName>איתן</FirstName>
        <LastName>שלו סולקין</LastName>
        <PartyPropertyName/>
        <AuthenticationTypeAndNumber>מ.ר. 43909</AuthenticationTypeAndNumber>
        <RepresentatedOrRepresentativesNames>אופירה לאה פרנקל פרישמן</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278331183</CasePartyID>
        <PartyTypeID>2</PartyTypeID>
        <ActivityStatusID>1</ActivityStatusID>
        <PartyAliasID>23</PartyAliasID>
        <PartyAliasName>בא כוח משיבים</PartyAliasName>
        <LegalEntityID>7580726</LegalEntityID>
        <CaseLegalEntityID>132541852</CaseLegalEntityID>
        <AuthenticationTypeID>4</AuthenticationTypeID>
        <AuthenticationTypeName>מ.ר.</AuthenticationTypeName>
        <LegalEntityNumber>43909</LegalEntityNumber>
        <IsMainPartyType>true</IsMainPartyType>
        <CaseDisplayIdentifier>1121-08-24</CaseDisplayIdentifier>
        <CaseTypeID>10177</CaseTypeID>
        <CaseTypeName>הטרדה מאיימת וצו הגנה (ה"ט)</CaseTypeName>
        <CaseName>פרישמן נ' פרנקל פרישמן</CaseName>
        <FullAddress>מנחם בגין 154 תל אביב -יפו קומה 3</FullAddress>
        <EmailAddress>suzyshalev@gmail.com</EmailAddress>
        <MotionID>0</MotionID>
        <CasePleaID>0</CasePleaID>
        <LinkedCaseID>0</LinkedCaseID>
        <PartyID>2</PartyID>
        <CasePartyCategoryID>2</CasePartyCategoryID>
        <LegalEntityAddressID>89485324</LegalEntityAddressID>
        <LegalEntityEmailAddressID>68088378</LegalEntityEmailAddressID>
        <PleaTypeID>5</PleaTypeID>
        <LawyerOfficeName>משרד עו"ד: סוזי שלו</LawyerOfficeName>
        <LawyerOfficeID>429120</LawyerOfficeID>
        <GroupPartyAlias/>
        <IsConverted>false</IsConverted>
        <LegalEntityNameID>7257437</LegalEntityNameID>
        <RepresentatedNamesOfAssistant/>
        <LegalEntityTypeID>4</LegalEntityTypeID>
        <IsVerdictExists>false</IsVerdictExists>
        <IsAsirAzir>false</IsAsirAzir>
        <MainAndSecSpec/>
        <IsPublicationProhibited>false</IsPublicationProhibited>
        <PublicationProhibitedFullName>איתן שלו סולקין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273496832</CasePartyID>
        <PartyTypeID>3</PartyTypeID>
        <ActivityStatusID>1</ActivityStatusID>
        <OrdinalNumber>1</OrdinalNumber>
        <LegalEntityID>379235</LegalEntityID>
        <CaseLegalEntityID>129917762</CaseLegalEntityID>
        <AssistantRoleID>18</AssistantRoleID>
        <AuthenticationTypeID>13</AuthenticationTypeID>
        <AuthenticationTypeName>משרדי ממשלה</AuthenticationTypeName>
        <LegalEntityNumber>500106215</LegalEntityNumber>
        <IsMainPartyType>true</IsMainPartyType>
        <CaseDisplayIdentifier>1121-08-24</CaseDisplayIdentifier>
        <CaseTypeID>10177</CaseTypeID>
        <CaseTypeName>הטרדה מאיימת וצו הגנה (ה"ט)</CaseTypeName>
        <CaseName>פרישמן נ' פרנקל פרישמן</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גיל שחף</FullName>
        <FirstName>גיל</FirstName>
        <LastName>שחף</LastName>
        <PartyPropertyName/>
        <AuthenticationTypeAndNumber>מ.ר. 33676</AuthenticationTypeAndNumber>
        <RepresentatedOrRepresentativesNames>יעקב פרישמן</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273496834</CasePartyID>
        <PartyTypeID>2</PartyTypeID>
        <ActivityStatusID>1</ActivityStatusID>
        <PartyAliasID>22</PartyAliasID>
        <PartyAliasName>בא כוח מבקשים</PartyAliasName>
        <OrdinalNumber>1</OrdinalNumber>
        <LegalEntityID>406917</LegalEntityID>
        <CaseLegalEntityID>129917764</CaseLegalEntityID>
        <AuthenticationTypeID>4</AuthenticationTypeID>
        <AuthenticationTypeName>מ.ר.</AuthenticationTypeName>
        <LegalEntityNumber>33676</LegalEntityNumber>
        <IsMainPartyType>true</IsMainPartyType>
        <CaseDisplayIdentifier>1121-08-24</CaseDisplayIdentifier>
        <CaseTypeID>10177</CaseTypeID>
        <CaseTypeName>הטרדה מאיימת וצו הגנה (ה"ט)</CaseTypeName>
        <CaseName>פרישמן נ' פרנקל פרישמן</CaseName>
        <FullAddress>האורגים 25/49 אשדוד </FullAddress>
        <MotionID>0</MotionID>
        <CasePleaID>0</CasePleaID>
        <LinkedCaseID>0</LinkedCaseID>
        <PartyID>1</PartyID>
        <CasePartyCategoryID>2</CasePartyCategoryID>
        <LegalEntityAddressID>86558858</LegalEntityAddressID>
        <PleaTypeID>5</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יעקב פרישמן</FullName>
        <FirstName>יעקב</FirstName>
        <LastName>פרישמן</LastName>
        <PartyPropertyName/>
        <AuthenticationTypeAndNumber>ת"ז 032849481</AuthenticationTypeAndNumber>
        <RepresentatedOrRepresentativesNames>גיל שחף</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273496833</CasePartyID>
        <PartyTypeID>1</PartyTypeID>
        <ActivityStatusID>1</ActivityStatusID>
        <PartyAliasID>3</PartyAliasID>
        <PartyAliasName>מבקש</PartyAliasName>
        <OrdinalNumber>1</OrdinalNumber>
        <LegalEntityID>82017113</LegalEntityID>
        <CaseLegalEntityID>129917763</CaseLegalEntityID>
        <AuthenticationTypeID>1</AuthenticationTypeID>
        <AuthenticationTypeName>ת"ז</AuthenticationTypeName>
        <LegalEntityNumber>032849481</LegalEntityNumber>
        <IsMainPartyType>true</IsMainPartyType>
        <CaseDisplayIdentifier>1121-08-24</CaseDisplayIdentifier>
        <CaseTypeID>10177</CaseTypeID>
        <CaseTypeName>הטרדה מאיימת וצו הגנה (ה"ט)</CaseTypeName>
        <CaseName>פרישמן נ' פרנקל פרישמן</CaseName>
        <FullAddress>קטה 11 מיתר </FullAddress>
        <MotionID>0</MotionID>
        <CasePleaID>0</CasePleaID>
        <FatherName>אלכסנדר</FatherName>
        <LinkedCaseID>0</LinkedCaseID>
        <PartyID>1</PartyID>
        <CasePartyCategoryID>2</CasePartyCategoryID>
        <LegalEntityAddressID>89619858</LegalEntityAddressID>
        <PleaTypeID>5</PleaTypeID>
        <GroupPartyAlias>מבקשים</GroupPartyAlias>
        <IsConverted>false</IsConverted>
        <LegalEntityRegisteredNameID>10818488</LegalEntityRegisteredNameID>
        <LegalEntityNameID>96948957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פרישמן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אופירה לאה פרנקל פרישמן</FullName>
        <FirstName>אופירה לאה</FirstName>
        <LastName>פרנקל פרישמן</LastName>
        <PartyPropertyName/>
        <AuthenticationTypeAndNumber>ת"ז 032306391</AuthenticationTypeAndNumber>
        <RepresentatedOrRepresentativesNames>איתן שלו סולקין</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273496835</CasePartyID>
        <PartyTypeID>1</PartyTypeID>
        <ActivityStatusID>1</ActivityStatusID>
        <PartyAliasID>4</PartyAliasID>
        <PartyAliasName>משיב</PartyAliasName>
        <OrdinalNumber>1</OrdinalNumber>
        <LegalEntityID>58003164</LegalEntityID>
        <CaseLegalEntityID>129917765</CaseLegalEntityID>
        <AuthenticationTypeID>1</AuthenticationTypeID>
        <AuthenticationTypeName>ת"ז</AuthenticationTypeName>
        <LegalEntityNumber>032306391</LegalEntityNumber>
        <IsMainPartyType>true</IsMainPartyType>
        <CaseDisplayIdentifier>1121-08-24</CaseDisplayIdentifier>
        <CaseTypeID>10177</CaseTypeID>
        <CaseTypeName>הטרדה מאיימת וצו הגנה (ה"ט)</CaseTypeName>
        <CaseName>פרישמן נ' פרנקל פרישמן</CaseName>
        <FullAddress>קטה 11 מיתר </FullAddress>
        <MotionID>0</MotionID>
        <CasePleaID>0</CasePleaID>
        <BirthDate>1975-08-12T00:00:00+03:00</BirthDate>
        <FatherName>ישראל   </FatherName>
        <LinkedCaseID>0</LinkedCaseID>
        <PartyID>2</PartyID>
        <CasePartyCategoryID>2</CasePartyCategoryID>
        <LegalEntityAddressID>89619859</LegalEntityAddressID>
        <DrivingLicenseNumber>6669724</DrivingLicenseNumber>
        <PleaTypeID>5</PleaTypeID>
        <GroupPartyAlias>משיבים</GroupPartyAlias>
        <IsConverted>false</IsConverted>
        <LegalEntityRegisteredNameID>10818489</LegalEntityRegisteredNameID>
        <LegalEntityNameID>96948958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אופירה לאה פרנקל פרישמן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273496831</CasePartyID>
        <PartyTypeID>3</PartyTypeID>
        <ActivityStatusID>1</ActivityStatusID>
        <OrdinalNumber>2</OrdinalNumber>
        <LegalEntityID>379234</LegalEntityID>
        <CaseLegalEntityID>129917761</CaseLegalEntityID>
        <AssistantRoleID>19</AssistantRoleID>
        <AuthenticationTypeID>13</AuthenticationTypeID>
        <AuthenticationTypeName>משרדי ממשלה</AuthenticationTypeName>
        <LegalEntityNumber>500106214</LegalEntityNumber>
        <IsMainPartyType>true</IsMainPartyType>
        <CaseDisplayIdentifier>1121-08-24</CaseDisplayIdentifier>
        <CaseTypeID>10177</CaseTypeID>
        <CaseTypeName>הטרדה מאיימת וצו הגנה (ה"ט)</CaseTypeName>
        <CaseName>פרישמן נ' פרנקל פרישמן</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החלטה  שניתנה ע"י  שני כ"ץ</DecisionName>
    <CourtDisplayName>בית משפט לענייני משפחה בבאר שבע</CourtDisplayName>
    <IsCaseJudgePanel>false</IsCaseJudgePanel>
    <DecisionSignatureDate>2024-10-10T21:21:03.6079055+03:00</DecisionSignatureDate>
    <OpenCaseDate>2024-08-01T10:08:00+03:00</OpenCaseDate>
    <CaseFeeSum>0.000</CaseFeeSum>
    <DecisionTypeID>1</DecisionTypeID>
    <DecisionSignatureUserName>שני כ"ץ</DecisionSignatureUserName>
    <DecisionSignatureDateHebrew>2024-10-10T21:21:03.6079055+03:00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פרישמן נ' פרנקל פרישמן</CaseName>
    <DecisionNumberInCase>32</DecisionNumberInCase>
  </dt_Decision>
  <dt_DecisionCase>
    <DecisionID>0</DecisionID>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273497009</CasePartyID>
        <PartyTypeID>3</PartyTypeID>
        <ActivityStatusID>1</ActivityStatusID>
        <LegalEntityID>45205473</LegalEntityID>
        <CaseLegalEntityID>129917829</CaseLegalEntityID>
        <AssistantRoleID>8</AssistantRoleID>
        <AuthenticationTypeID>13</AuthenticationTypeID>
        <AuthenticationTypeName>משרדי ממשלה</AuthenticationTypeName>
        <LegalEntityNumber>570000884</LegalEntityNumber>
        <IsMainPartyType>true</IsMainPartyType>
        <CaseDisplayIdentifier>1121-08-24</CaseDisplayIdentifier>
        <CaseTypeID>10177</CaseTypeID>
        <CaseTypeName>הטרדה מאיימת וצו הגנה (ה"ט)</CaseTypeName>
        <CaseName>פרישמן נ' פרנקל פרישמן</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משטרת ישראל - רכז רישוי נשק באר שבע</FullName>
        <LastName>משטרת ישראל - רכז רישוי נשק באר שבע</LastName>
        <PartyPropertyName/>
        <AuthenticationTypeAndNumber>משרדי ממשלה 570000885</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273497043</CasePartyID>
        <PartyTypeID>3</PartyTypeID>
        <ActivityStatusID>1</ActivityStatusID>
        <LegalEntityID>45205497</LegalEntityID>
        <CaseLegalEntityID>129917843</CaseLegalEntityID>
        <AssistantRoleID>33</AssistantRoleID>
        <AuthenticationTypeID>13</AuthenticationTypeID>
        <AuthenticationTypeName>משרדי ממשלה</AuthenticationTypeName>
        <LegalEntityNumber>570000885</LegalEntityNumber>
        <IsMainPartyType>true</IsMainPartyType>
        <CaseDisplayIdentifier>1121-08-24</CaseDisplayIdentifier>
        <CaseTypeID>10177</CaseTypeID>
        <CaseTypeName>הטרדה מאיימת וצו הגנה (ה"ט)</CaseTypeName>
        <CaseName>פרישמן נ' פרנקל פרישמן</CaseName>
        <FullAddress>שד' טוביה 5 באר שבע אדי יושטיין</FullAddress>
        <MotionID>0</MotionID>
        <CasePleaID>0</CasePleaID>
        <LinkedCaseID>0</LinkedCaseID>
        <PartyID>1</PartyID>
        <CasePartyCategoryID>2</CasePartyCategoryID>
        <LegalEntityAddressID>78630486</LegalEntityAddressID>
        <PleaTypeID>5</PleaTypeID>
        <GroupPartyAlias/>
        <IsConverted>false</IsConverted>
        <LegalEntityRegisteredNameID>1932520</LegalEntityRegisteredNameID>
        <RepresentatedNamesOfAssistant/>
        <LegalEntityTypeID>3</LegalEntityTypeID>
        <IsVerdictExists>false</IsVerdictExists>
        <IsAsirAzir>false</IsAsirAzir>
        <MainAndSecSpec/>
        <IsPublicationProhibited>false</IsPublicationProhibited>
        <PublicationProhibitedFullName>משטרת ישראל - רכז רישוי נשק באר שבע</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איתן שלו סולקין</FullName>
        <FirstName>איתן</FirstName>
        <LastName>שלו סולקין</LastName>
        <PartyPropertyName/>
        <AuthenticationTypeAndNumber>מ.ר. 43909</AuthenticationTypeAndNumber>
        <RepresentatedOrRepresentativesNames>אופירה לאה פרנקל פרישמן</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278331183</CasePartyID>
        <PartyTypeID>2</PartyTypeID>
        <ActivityStatusID>1</ActivityStatusID>
        <PartyAliasID>23</PartyAliasID>
        <PartyAliasName>בא כוח משיבים</PartyAliasName>
        <LegalEntityID>7580726</LegalEntityID>
        <CaseLegalEntityID>132541852</CaseLegalEntityID>
        <AuthenticationTypeID>4</AuthenticationTypeID>
        <AuthenticationTypeName>מ.ר.</AuthenticationTypeName>
        <LegalEntityNumber>43909</LegalEntityNumber>
        <IsMainPartyType>true</IsMainPartyType>
        <CaseDisplayIdentifier>1121-08-24</CaseDisplayIdentifier>
        <CaseTypeID>10177</CaseTypeID>
        <CaseTypeName>הטרדה מאיימת וצו הגנה (ה"ט)</CaseTypeName>
        <CaseName>פרישמן נ' פרנקל פרישמן</CaseName>
        <FullAddress>מנחם בגין 154 תל אביב -יפו קומה 3</FullAddress>
        <EmailAddress>suzyshalev@gmail.com</EmailAddress>
        <MotionID>0</MotionID>
        <CasePleaID>0</CasePleaID>
        <LinkedCaseID>0</LinkedCaseID>
        <PartyID>2</PartyID>
        <CasePartyCategoryID>2</CasePartyCategoryID>
        <LegalEntityAddressID>89485324</LegalEntityAddressID>
        <LegalEntityEmailAddressID>68088378</LegalEntityEmailAddressID>
        <PleaTypeID>5</PleaTypeID>
        <LawyerOfficeName>משרד עו"ד: סוזי שלו</LawyerOfficeName>
        <LawyerOfficeID>429120</LawyerOfficeID>
        <GroupPartyAlias/>
        <IsConverted>false</IsConverted>
        <LegalEntityNameID>7257437</LegalEntityNameID>
        <RepresentatedNamesOfAssistant/>
        <LegalEntityTypeID>4</LegalEntityTypeID>
        <IsVerdictExists>false</IsVerdictExists>
        <IsAsirAzir>false</IsAsirAzir>
        <MainAndSecSpec/>
        <IsPublicationProhibited>false</IsPublicationProhibited>
        <PublicationProhibitedFullName>איתן שלו סולקין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273496832</CasePartyID>
        <PartyTypeID>3</PartyTypeID>
        <ActivityStatusID>1</ActivityStatusID>
        <OrdinalNumber>1</OrdinalNumber>
        <LegalEntityID>379235</LegalEntityID>
        <CaseLegalEntityID>129917762</CaseLegalEntityID>
        <AssistantRoleID>18</AssistantRoleID>
        <AuthenticationTypeID>13</AuthenticationTypeID>
        <AuthenticationTypeName>משרדי ממשלה</AuthenticationTypeName>
        <LegalEntityNumber>500106215</LegalEntityNumber>
        <IsMainPartyType>true</IsMainPartyType>
        <CaseDisplayIdentifier>1121-08-24</CaseDisplayIdentifier>
        <CaseTypeID>10177</CaseTypeID>
        <CaseTypeName>הטרדה מאיימת וצו הגנה (ה"ט)</CaseTypeName>
        <CaseName>פרישמן נ' פרנקל פרישמן</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גיל שחף</FullName>
        <FirstName>גיל</FirstName>
        <LastName>שחף</LastName>
        <PartyPropertyName/>
        <AuthenticationTypeAndNumber>מ.ר. 33676</AuthenticationTypeAndNumber>
        <RepresentatedOrRepresentativesNames>יעקב פרישמן</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273496834</CasePartyID>
        <PartyTypeID>2</PartyTypeID>
        <ActivityStatusID>1</ActivityStatusID>
        <PartyAliasID>22</PartyAliasID>
        <PartyAliasName>בא כוח מבקשים</PartyAliasName>
        <OrdinalNumber>1</OrdinalNumber>
        <LegalEntityID>406917</LegalEntityID>
        <CaseLegalEntityID>129917764</CaseLegalEntityID>
        <AuthenticationTypeID>4</AuthenticationTypeID>
        <AuthenticationTypeName>מ.ר.</AuthenticationTypeName>
        <LegalEntityNumber>33676</LegalEntityNumber>
        <IsMainPartyType>true</IsMainPartyType>
        <CaseDisplayIdentifier>1121-08-24</CaseDisplayIdentifier>
        <CaseTypeID>10177</CaseTypeID>
        <CaseTypeName>הטרדה מאיימת וצו הגנה (ה"ט)</CaseTypeName>
        <CaseName>פרישמן נ' פרנקל פרישמן</CaseName>
        <FullAddress>האורגים 25/49 אשדוד </FullAddress>
        <MotionID>0</MotionID>
        <CasePleaID>0</CasePleaID>
        <LinkedCaseID>0</LinkedCaseID>
        <PartyID>1</PartyID>
        <CasePartyCategoryID>2</CasePartyCategoryID>
        <LegalEntityAddressID>86558858</LegalEntityAddressID>
        <PleaTypeID>5</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יעקב פרישמן</FullName>
        <FirstName>יעקב</FirstName>
        <LastName>פרישמן</LastName>
        <PartyPropertyName/>
        <AuthenticationTypeAndNumber>ת"ז 032849481</AuthenticationTypeAndNumber>
        <RepresentatedOrRepresentativesNames>גיל שחף</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273496833</CasePartyID>
        <PartyTypeID>1</PartyTypeID>
        <ActivityStatusID>1</ActivityStatusID>
        <PartyAliasID>3</PartyAliasID>
        <PartyAliasName>מבקש</PartyAliasName>
        <OrdinalNumber>1</OrdinalNumber>
        <LegalEntityID>82017113</LegalEntityID>
        <CaseLegalEntityID>129917763</CaseLegalEntityID>
        <AuthenticationTypeID>1</AuthenticationTypeID>
        <AuthenticationTypeName>ת"ז</AuthenticationTypeName>
        <LegalEntityNumber>032849481</LegalEntityNumber>
        <IsMainPartyType>true</IsMainPartyType>
        <CaseDisplayIdentifier>1121-08-24</CaseDisplayIdentifier>
        <CaseTypeID>10177</CaseTypeID>
        <CaseTypeName>הטרדה מאיימת וצו הגנה (ה"ט)</CaseTypeName>
        <CaseName>פרישמן נ' פרנקל פרישמן</CaseName>
        <FullAddress>קטה 11 מיתר </FullAddress>
        <MotionID>0</MotionID>
        <CasePleaID>0</CasePleaID>
        <FatherName>אלכסנדר</FatherName>
        <LinkedCaseID>0</LinkedCaseID>
        <PartyID>1</PartyID>
        <CasePartyCategoryID>2</CasePartyCategoryID>
        <LegalEntityAddressID>89619858</LegalEntityAddressID>
        <PleaTypeID>5</PleaTypeID>
        <GroupPartyAlias>מבקשים</GroupPartyAlias>
        <IsConverted>false</IsConverted>
        <LegalEntityRegisteredNameID>10818488</LegalEntityRegisteredNameID>
        <LegalEntityNameID>96948957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פרישמן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אופירה לאה פרנקל פרישמן</FullName>
        <FirstName>אופירה לאה</FirstName>
        <LastName>פרנקל פרישמן</LastName>
        <PartyPropertyName/>
        <AuthenticationTypeAndNumber>ת"ז 032306391</AuthenticationTypeAndNumber>
        <RepresentatedOrRepresentativesNames>איתן שלו סולקין</RepresentatedOrRepresentativesNames>
        <RepresentatedOrRepresentativesCount>1</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273496835</CasePartyID>
        <PartyTypeID>1</PartyTypeID>
        <ActivityStatusID>1</ActivityStatusID>
        <PartyAliasID>4</PartyAliasID>
        <PartyAliasName>משיב</PartyAliasName>
        <OrdinalNumber>1</OrdinalNumber>
        <LegalEntityID>58003164</LegalEntityID>
        <CaseLegalEntityID>129917765</CaseLegalEntityID>
        <AuthenticationTypeID>1</AuthenticationTypeID>
        <AuthenticationTypeName>ת"ז</AuthenticationTypeName>
        <LegalEntityNumber>032306391</LegalEntityNumber>
        <IsMainPartyType>true</IsMainPartyType>
        <CaseDisplayIdentifier>1121-08-24</CaseDisplayIdentifier>
        <CaseTypeID>10177</CaseTypeID>
        <CaseTypeName>הטרדה מאיימת וצו הגנה (ה"ט)</CaseTypeName>
        <CaseName>פרישמן נ' פרנקל פרישמן</CaseName>
        <FullAddress>קטה 11 מיתר </FullAddress>
        <MotionID>0</MotionID>
        <CasePleaID>0</CasePleaID>
        <BirthDate>1975-08-12T00:00:00+03:00</BirthDate>
        <FatherName>ישראל   </FatherName>
        <LinkedCaseID>0</LinkedCaseID>
        <PartyID>2</PartyID>
        <CasePartyCategoryID>2</CasePartyCategoryID>
        <LegalEntityAddressID>89619859</LegalEntityAddressID>
        <DrivingLicenseNumber>6669724</DrivingLicenseNumber>
        <PleaTypeID>5</PleaTypeID>
        <GroupPartyAlias>משיבים</GroupPartyAlias>
        <IsConverted>false</IsConverted>
        <LegalEntityRegisteredNameID>10818489</LegalEntityRegisteredNameID>
        <LegalEntityNameID>96948958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אופירה לאה פרנקל פרישמן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81452024</CaseID>
        <CaseJudicialPersonPresentationDS>
          <CaseJudicalPersonActive>
            <CaseID>81452024</CaseID>
            <JudicialPersonID>040360844@GOV.IL</JudicialPersonID>
            <JudicialPersonTypeID>1</JudicialPersonTypeID>
            <JudicialTypeID>1</JudicialTypeID>
            <IsChairman>false</IsChairman>
            <TreatmentStartDate>2024-09-30T09:40:41.93+03:00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273496831</CasePartyID>
        <PartyTypeID>3</PartyTypeID>
        <ActivityStatusID>1</ActivityStatusID>
        <OrdinalNumber>2</OrdinalNumber>
        <LegalEntityID>379234</LegalEntityID>
        <CaseLegalEntityID>129917761</CaseLegalEntityID>
        <AssistantRoleID>19</AssistantRoleID>
        <AuthenticationTypeID>13</AuthenticationTypeID>
        <AuthenticationTypeName>משרדי ממשלה</AuthenticationTypeName>
        <LegalEntityNumber>500106214</LegalEntityNumber>
        <IsMainPartyType>true</IsMainPartyType>
        <CaseDisplayIdentifier>1121-08-24</CaseDisplayIdentifier>
        <CaseTypeID>10177</CaseTypeID>
        <CaseTypeName>הטרדה מאיימת וצו הגנה (ה"ט)</CaseTypeName>
        <CaseName>פרישמן נ' פרנקל פרישמן</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פרישמן נ' פרנקל פרישמן</CaseName>
    <CaseDisplayIdentifier>1121-08-24</CaseDisplayIdentifier>
    <CaseInterestID>95</CaseInterestID>
    <CaseTypeShortName>ה"ט</CaseTypeShortName>
  </dt_DecisionCase>
  <dt_DecisionJudgePanel>
    <JudgeID>040360844@GOV.IL</JudgeID>
    <DisplayName>שני כ"ץ</DisplayName>
    <RoleName>שופט</RoleName>
    <UserTitleName>שופטת</UserTitleName>
  </dt_DecisionJudgePanel>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08-6464431</Fax>
    <Phone>08-6464414</Phone>
    <AddressDesc>אדי יושטיין</AddressDesc>
    <PartyID>1</PartyID>
    <PartyTypeID>3</PartyTypeID>
    <DecisionID>0</DecisionID>
    <AssistantRoleID>33</AssistantRoleID>
    <StreetName>שד' טוביה 5</StreetName>
    <CityName>באר שבע</CityName>
    <FullName> משטרת ישראל - רכז רישוי נשק באר שבע</FullName>
    <Email/>
    <IsPublicationProhibited>false</IsPublicationProhibited>
  </dt_LegalEntityDetails>
  <dt_LegalEntityDetails>
    <Fax>03-6083567</Fax>
    <Phone>03-6083565</Phone>
    <AddressDesc>קומה 3</AddressDesc>
    <PartyID>2</PartyID>
    <PartyTypeID>2</PartyTypeID>
    <DecisionID>0</DecisionID>
    <StreetName>מנחם בגין 154</StreetName>
    <CityName>תל אביב -יפו</CityName>
    <FullName>איתן שלו סולקין</FullName>
    <Email>suzyshalev@gmail.com</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קטה 11</StreetName>
    <CityName>מיתר</CityName>
    <FullName>יעקב פרישמן</FullName>
    <IsPublicationProhibited>false</IsPublicationProhibited>
  </dt_LegalEntityDetails>
  <dt_LegalEntityDetails>
    <Fax>08-8526428</Fax>
    <Phone>08-8526635</Phone>
    <PartyID>1</PartyID>
    <PartyTypeID>2</PartyTypeID>
    <DecisionID>0</DecisionID>
    <StreetName>האורגים 25/49</StreetName>
    <ZipCode>77609</ZipCode>
    <CityName>אשדוד</CityName>
    <FullName>גיל שחף</FullName>
    <Email>center@gilshachaf.co.il</Email>
    <IsPublicationProhibited>false</IsPublicationProhibited>
  </dt_LegalEntityDetails>
  <dt_LegalEntityDetails>
    <PartyID>2</PartyID>
    <PartyTypeID>1</PartyTypeID>
    <DecisionID>0</DecisionID>
    <StreetName>קטה 11</StreetName>
    <CityName>מיתר</CityName>
    <FullName>אופירה לאה פרנקל פרישמן</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שני כ"ץ</CaseJudicalPerson>
  </dt_CaseJudicalPersonActive>
  <dt_Sitting>
    <PreviousMeetingDate>2024-10-10T11:30:00+03:00</PreviousMeetingDate>
    <PreviousSittingTypeID>1</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5FE1-3F97-4512-9324-5F5CE3AD49E7}">
  <ds:schemaRefs/>
</ds:datastoreItem>
</file>

<file path=customXml/itemProps2.xml><?xml version="1.0" encoding="utf-8"?>
<ds:datastoreItem xmlns:ds="http://schemas.openxmlformats.org/officeDocument/2006/customXml" ds:itemID="{16A35B02-17E5-4E79-A460-B75A68B1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1778</Words>
  <Characters>8891</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2024-10-27T07:56:00Z</dcterms:created>
  <dcterms:modified xsi:type="dcterms:W3CDTF">2024-10-27T07:56:00Z</dcterms:modified>
</cp:coreProperties>
</file>